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4E" w:rsidRPr="00A614D7" w:rsidRDefault="00DC0B4E" w:rsidP="00CD708C">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Contract de achiziție publică de produse</w:t>
      </w:r>
    </w:p>
    <w:p w:rsidR="00DC0B4E" w:rsidRPr="00DC0B4E" w:rsidRDefault="00DC0B4E" w:rsidP="00CD708C">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143B94">
        <w:rPr>
          <w:rFonts w:ascii="Times New Roman" w:eastAsia="Calibri" w:hAnsi="Times New Roman" w:cs="Times New Roman"/>
          <w:sz w:val="24"/>
          <w:szCs w:val="24"/>
        </w:rPr>
        <w:t>34776</w:t>
      </w:r>
      <w:r w:rsidRPr="00DC0B4E">
        <w:rPr>
          <w:rFonts w:ascii="Times New Roman" w:eastAsia="Calibri" w:hAnsi="Times New Roman" w:cs="Times New Roman"/>
          <w:sz w:val="24"/>
          <w:szCs w:val="24"/>
        </w:rPr>
        <w:t xml:space="preserve"> din data </w:t>
      </w:r>
      <w:r w:rsidR="00143B94">
        <w:rPr>
          <w:rFonts w:ascii="Times New Roman" w:eastAsia="Calibri" w:hAnsi="Times New Roman" w:cs="Times New Roman"/>
          <w:sz w:val="24"/>
          <w:szCs w:val="24"/>
        </w:rPr>
        <w:t>25.05.2020</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Prezentul Contract de achiziție publică de  produse, s-a încheiat având în vedere prevederile din Legea nr. 98/2016 privind achizițiile publice, precum și orice alte prevederi legale emise în aplicarea acesteia</w:t>
      </w:r>
    </w:p>
    <w:p w:rsidR="00DC0B4E" w:rsidRPr="00DC0B4E" w:rsidRDefault="00DC0B4E" w:rsidP="005358D3">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încheiat între:</w:t>
      </w:r>
    </w:p>
    <w:tbl>
      <w:tblPr>
        <w:tblW w:w="964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3F1B5A" w:rsidRPr="003F1B5A" w:rsidTr="00CD708C">
        <w:trPr>
          <w:jc w:val="center"/>
        </w:trPr>
        <w:tc>
          <w:tcPr>
            <w:tcW w:w="9640" w:type="dxa"/>
            <w:shd w:val="clear" w:color="auto" w:fill="auto"/>
          </w:tcPr>
          <w:p w:rsidR="003F1B5A" w:rsidRPr="003F1B5A" w:rsidRDefault="003F1B5A" w:rsidP="00CB129C">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Revoluţiei nr. 75, telefon 0257/281850, fax 0257/284744, cod fiscal 3519925, cont </w:t>
            </w:r>
            <w:r w:rsidR="00CB129C" w:rsidRPr="0040732C">
              <w:rPr>
                <w:rFonts w:ascii="Times New Roman" w:eastAsia="Times New Roman" w:hAnsi="Times New Roman" w:cs="Times New Roman"/>
                <w:sz w:val="24"/>
                <w:szCs w:val="24"/>
              </w:rPr>
              <w:t xml:space="preserve">RO30TREZ24A510103200101X, </w:t>
            </w:r>
            <w:r w:rsidR="00CB129C">
              <w:rPr>
                <w:rFonts w:ascii="Times New Roman" w:eastAsia="Times New Roman" w:hAnsi="Times New Roman" w:cs="Times New Roman"/>
                <w:sz w:val="24"/>
                <w:szCs w:val="24"/>
              </w:rPr>
              <w:t xml:space="preserve">RO43TREZ24A541000200101X </w:t>
            </w:r>
            <w:r w:rsidR="00CB129C" w:rsidRPr="0040732C">
              <w:rPr>
                <w:rFonts w:ascii="Times New Roman" w:eastAsia="Times New Roman" w:hAnsi="Times New Roman" w:cs="Times New Roman"/>
                <w:sz w:val="24"/>
                <w:szCs w:val="24"/>
              </w:rPr>
              <w:t>și RO30TREZ24A610304200101X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Grozavu, Director economic.</w:t>
            </w:r>
          </w:p>
        </w:tc>
      </w:tr>
    </w:tbl>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în calitate de și denumită în continuare „Autoritatea/entitatea contractantă”, pe de o parte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3D0666" w:rsidRPr="00DC0B4E" w:rsidRDefault="003D0666" w:rsidP="003D0666">
      <w:pPr>
        <w:spacing w:before="120" w:after="120" w:line="276" w:lineRule="auto"/>
        <w:ind w:left="1"/>
        <w:jc w:val="both"/>
        <w:rPr>
          <w:rFonts w:ascii="Times New Roman" w:eastAsia="Calibri" w:hAnsi="Times New Roman" w:cs="Times New Roman"/>
          <w:sz w:val="24"/>
          <w:szCs w:val="24"/>
        </w:rPr>
      </w:pPr>
      <w:r w:rsidRPr="0002082F">
        <w:rPr>
          <w:rFonts w:ascii="Times New Roman" w:eastAsia="Calibri" w:hAnsi="Times New Roman" w:cs="Times New Roman"/>
          <w:b/>
          <w:sz w:val="24"/>
          <w:szCs w:val="24"/>
        </w:rPr>
        <w:t>SC DOLEX COM SRL</w:t>
      </w:r>
      <w:r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 xml:space="preserve">Râmnicu Vâlcea, str. Timiș, nr. 24, jud. Vâlcea, tel. /fax. 0250748796 </w:t>
      </w:r>
      <w:r w:rsidRPr="00DC0B4E">
        <w:rPr>
          <w:rFonts w:ascii="Times New Roman" w:eastAsia="Calibri" w:hAnsi="Times New Roman" w:cs="Times New Roman"/>
          <w:sz w:val="24"/>
          <w:szCs w:val="24"/>
        </w:rPr>
        <w:t xml:space="preserve">e-mail: </w:t>
      </w:r>
      <w:r>
        <w:rPr>
          <w:rFonts w:ascii="Times New Roman" w:eastAsia="Calibri" w:hAnsi="Times New Roman" w:cs="Times New Roman"/>
          <w:sz w:val="24"/>
          <w:szCs w:val="24"/>
        </w:rPr>
        <w:t>dolexcomsrl@yahoo.com,</w:t>
      </w:r>
      <w:r w:rsidRPr="00DC0B4E">
        <w:rPr>
          <w:rFonts w:ascii="Times New Roman" w:eastAsia="Calibri" w:hAnsi="Times New Roman" w:cs="Times New Roman"/>
          <w:sz w:val="24"/>
          <w:szCs w:val="24"/>
        </w:rPr>
        <w:t xml:space="preserve"> număr de înmatriculare </w:t>
      </w:r>
      <w:r>
        <w:rPr>
          <w:rFonts w:ascii="Times New Roman" w:eastAsia="Calibri" w:hAnsi="Times New Roman" w:cs="Times New Roman"/>
          <w:sz w:val="24"/>
          <w:szCs w:val="24"/>
        </w:rPr>
        <w:t xml:space="preserve">J38/1511/1994, </w:t>
      </w:r>
      <w:r w:rsidRPr="00DC0B4E">
        <w:rPr>
          <w:rFonts w:ascii="Times New Roman" w:eastAsia="Calibri" w:hAnsi="Times New Roman" w:cs="Times New Roman"/>
          <w:sz w:val="24"/>
          <w:szCs w:val="24"/>
        </w:rPr>
        <w:t xml:space="preserve">cod de înregistrare fiscală </w:t>
      </w:r>
      <w:r>
        <w:rPr>
          <w:rFonts w:ascii="Times New Roman" w:eastAsia="Calibri" w:hAnsi="Times New Roman" w:cs="Times New Roman"/>
          <w:sz w:val="24"/>
          <w:szCs w:val="24"/>
        </w:rPr>
        <w:t xml:space="preserve">RO6670360, </w:t>
      </w:r>
      <w:r w:rsidRPr="00DC0B4E">
        <w:rPr>
          <w:rFonts w:ascii="Times New Roman" w:eastAsia="Calibri" w:hAnsi="Times New Roman" w:cs="Times New Roman"/>
          <w:sz w:val="24"/>
          <w:szCs w:val="24"/>
        </w:rPr>
        <w:t xml:space="preserve">cont IBAN nr. </w:t>
      </w:r>
      <w:r>
        <w:rPr>
          <w:rFonts w:ascii="Times New Roman" w:eastAsia="Calibri" w:hAnsi="Times New Roman" w:cs="Times New Roman"/>
          <w:sz w:val="24"/>
          <w:szCs w:val="24"/>
        </w:rPr>
        <w:t>RO52TREZ6715069XXX001609</w:t>
      </w:r>
      <w:r w:rsidRPr="00DC0B4E">
        <w:rPr>
          <w:rFonts w:ascii="Times New Roman" w:eastAsia="Calibri" w:hAnsi="Times New Roman" w:cs="Times New Roman"/>
          <w:sz w:val="24"/>
          <w:szCs w:val="24"/>
        </w:rPr>
        <w:t xml:space="preserve"> deschis la </w:t>
      </w:r>
      <w:r>
        <w:rPr>
          <w:rFonts w:ascii="Times New Roman" w:eastAsia="Calibri" w:hAnsi="Times New Roman" w:cs="Times New Roman"/>
          <w:sz w:val="24"/>
          <w:szCs w:val="24"/>
        </w:rPr>
        <w:t xml:space="preserve">Trezoreria Municipiului Râmnicu Vâlcea, </w:t>
      </w:r>
      <w:r w:rsidRPr="00DC0B4E">
        <w:rPr>
          <w:rFonts w:ascii="Times New Roman" w:eastAsia="Calibri" w:hAnsi="Times New Roman" w:cs="Times New Roman"/>
          <w:sz w:val="24"/>
          <w:szCs w:val="24"/>
        </w:rPr>
        <w:t xml:space="preserve">reprezentată prin </w:t>
      </w:r>
      <w:r>
        <w:rPr>
          <w:rFonts w:ascii="Times New Roman" w:eastAsia="Calibri" w:hAnsi="Times New Roman" w:cs="Times New Roman"/>
          <w:sz w:val="24"/>
          <w:szCs w:val="24"/>
        </w:rPr>
        <w:t xml:space="preserve"> dl.</w:t>
      </w:r>
      <w:r w:rsidR="00143B9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funcția de Director General, </w:t>
      </w:r>
      <w:r w:rsidRPr="00DC0B4E">
        <w:rPr>
          <w:rFonts w:ascii="Times New Roman" w:eastAsia="Calibri" w:hAnsi="Times New Roman" w:cs="Times New Roman"/>
          <w:sz w:val="24"/>
          <w:szCs w:val="24"/>
        </w:rPr>
        <w:t>în calitate de și denumită în continuare „Contractant”, pe de altă parte,</w:t>
      </w:r>
    </w:p>
    <w:p w:rsidR="00DC0B4E" w:rsidRPr="00DC0B4E" w:rsidRDefault="00DC0B4E" w:rsidP="003C194F">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DC0B4E" w:rsidRPr="00DC0B4E" w:rsidRDefault="00DC0B4E" w:rsidP="00DC0B4E">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 - cu titlu oneros, asimilat, potrivit Legii, actului administrativ, încheiat în scris, între Autoritatea contractantă și Contractant, care are ca obiect furnizarea de Produse.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bookmarkStart w:id="0" w:name="_GoBack"/>
      <w:bookmarkEnd w:id="0"/>
    </w:p>
    <w:p w:rsid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w:t>
      </w:r>
    </w:p>
    <w:p w:rsidR="00DC0B4E" w:rsidRP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DC0B4E" w:rsidRPr="00DC0B4E" w:rsidRDefault="00DC0B4E" w:rsidP="008A28F0">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DC0B4E" w:rsidRPr="00DC0B4E" w:rsidRDefault="00DC0B4E" w:rsidP="008A28F0">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Prejudiciu – paguba produsă Autorității/entității Contractante de către Contractant prin neexecutarea/ executarea necorespunzătoare ori cu întârziere a obligațiilor stabilite în sarcina sa, prin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Recepția - reprezintă operațiunea prin care Autoritatea contractantă își exprimă acceptarea față de produsele furnizate în cadrul contractului de achiziție publică și pe baza căreia efectuează plata;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DC0B4E" w:rsidRPr="00DC0B4E" w:rsidRDefault="002E7133" w:rsidP="008A28F0">
      <w:pPr>
        <w:numPr>
          <w:ilvl w:val="0"/>
          <w:numId w:val="5"/>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DC0B4E" w:rsidRDefault="00DC0B4E" w:rsidP="008A28F0">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rsidR="005A478C" w:rsidRPr="005A478C" w:rsidRDefault="002E7133" w:rsidP="005A478C">
      <w:pPr>
        <w:numPr>
          <w:ilvl w:val="0"/>
          <w:numId w:val="6"/>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Obiectul prezentului Contract îl reprezintă furnizarea </w:t>
      </w:r>
      <w:r w:rsidR="005358D3">
        <w:rPr>
          <w:rFonts w:ascii="Times New Roman" w:eastAsia="Calibri" w:hAnsi="Times New Roman" w:cs="Times New Roman"/>
          <w:sz w:val="24"/>
          <w:szCs w:val="24"/>
        </w:rPr>
        <w:t xml:space="preserve">de </w:t>
      </w:r>
      <w:r w:rsidR="00D76686" w:rsidRPr="00BA40BA">
        <w:rPr>
          <w:rFonts w:ascii="Times New Roman" w:hAnsi="Times New Roman" w:cs="Times New Roman"/>
          <w:b/>
          <w:i/>
          <w:sz w:val="24"/>
          <w:szCs w:val="24"/>
        </w:rPr>
        <w:t>hârtie, articole din hârtie şi produse din papetărie pentru birou</w:t>
      </w:r>
      <w:r w:rsidR="00DC0B4E" w:rsidRPr="00DC0B4E">
        <w:rPr>
          <w:rFonts w:ascii="Times New Roman" w:eastAsia="Calibri" w:hAnsi="Times New Roman" w:cs="Times New Roman"/>
          <w:sz w:val="24"/>
          <w:szCs w:val="24"/>
        </w:rPr>
        <w:t xml:space="preserve">, denumite în continuare Produse, pe care Contractantul se obligă să le </w:t>
      </w:r>
      <w:r w:rsidR="00BE16A3">
        <w:rPr>
          <w:rFonts w:ascii="Times New Roman" w:eastAsia="Calibri" w:hAnsi="Times New Roman" w:cs="Times New Roman"/>
          <w:sz w:val="24"/>
          <w:szCs w:val="24"/>
        </w:rPr>
        <w:t>furnizeze</w:t>
      </w:r>
      <w:r w:rsidR="00DC0B4E" w:rsidRPr="00DC0B4E">
        <w:rPr>
          <w:rFonts w:ascii="Times New Roman" w:eastAsia="Calibri"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rsidR="00302FE5" w:rsidRPr="005A478C" w:rsidRDefault="00302FE5" w:rsidP="005A478C">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rsidR="00DC0B4E" w:rsidRPr="00DC0B4E" w:rsidRDefault="002E7133" w:rsidP="008A28F0">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Autoritatea contractantă se obligă să plătească Contractantului Prețul total convenit prin prezentul Contract pentru achiziție publică a Produselor, în sumă de </w:t>
      </w:r>
      <w:r w:rsidR="00CB129C">
        <w:rPr>
          <w:rFonts w:ascii="Times New Roman" w:eastAsia="Calibri" w:hAnsi="Times New Roman" w:cs="Times New Roman"/>
          <w:sz w:val="24"/>
          <w:szCs w:val="24"/>
        </w:rPr>
        <w:t xml:space="preserve">129.889,70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xml:space="preserve">, la care se adaugă TVA în valoare de </w:t>
      </w:r>
      <w:r w:rsidR="00CB129C">
        <w:rPr>
          <w:rFonts w:ascii="Times New Roman" w:eastAsia="Calibri" w:hAnsi="Times New Roman" w:cs="Times New Roman"/>
          <w:sz w:val="24"/>
          <w:szCs w:val="24"/>
        </w:rPr>
        <w:t xml:space="preserve">24.679,04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xml:space="preserve"> conform prevederilor legale.</w:t>
      </w:r>
    </w:p>
    <w:p w:rsidR="00A614D7" w:rsidRDefault="002E7133" w:rsidP="005A478C">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Prețul Contractului este ferm.</w:t>
      </w:r>
    </w:p>
    <w:p w:rsidR="00BA40BA" w:rsidRDefault="00BA40BA" w:rsidP="00BA40BA">
      <w:pPr>
        <w:spacing w:before="120" w:after="120" w:line="276" w:lineRule="auto"/>
        <w:ind w:left="721"/>
        <w:jc w:val="both"/>
        <w:rPr>
          <w:rFonts w:ascii="Times New Roman" w:eastAsia="Calibri" w:hAnsi="Times New Roman" w:cs="Times New Roman"/>
          <w:sz w:val="24"/>
          <w:szCs w:val="24"/>
        </w:rPr>
      </w:pPr>
    </w:p>
    <w:p w:rsidR="00BA40BA" w:rsidRDefault="00BA40BA" w:rsidP="00BA40BA">
      <w:pPr>
        <w:spacing w:before="120" w:after="120" w:line="276" w:lineRule="auto"/>
        <w:ind w:left="721"/>
        <w:jc w:val="both"/>
        <w:rPr>
          <w:rFonts w:ascii="Times New Roman" w:eastAsia="Calibri" w:hAnsi="Times New Roman" w:cs="Times New Roman"/>
          <w:sz w:val="24"/>
          <w:szCs w:val="24"/>
        </w:rPr>
      </w:pPr>
    </w:p>
    <w:p w:rsidR="001A075C" w:rsidRPr="001A075C" w:rsidRDefault="00674579" w:rsidP="001A075C">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Prețurile unitare ale produselor sunt următorele:</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496"/>
        <w:gridCol w:w="5563"/>
        <w:gridCol w:w="616"/>
        <w:gridCol w:w="1176"/>
        <w:gridCol w:w="1088"/>
        <w:gridCol w:w="1199"/>
      </w:tblGrid>
      <w:tr w:rsidR="001A075C" w:rsidRPr="00C86057" w:rsidTr="00C86057">
        <w:trPr>
          <w:trHeight w:val="666"/>
          <w:tblHeader/>
        </w:trPr>
        <w:tc>
          <w:tcPr>
            <w:tcW w:w="0" w:type="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Nr</w:t>
            </w:r>
          </w:p>
        </w:tc>
        <w:tc>
          <w:tcPr>
            <w:tcW w:w="0" w:type="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Descriere produs</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p>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UM</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Cantitate</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Pret unitar lei fără TVA</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Valoare lei fără TVA</w:t>
            </w:r>
          </w:p>
        </w:tc>
      </w:tr>
      <w:tr w:rsidR="001A075C" w:rsidRPr="00C86057" w:rsidTr="00C86057">
        <w:trPr>
          <w:trHeight w:val="318"/>
          <w:tblHeader/>
        </w:trPr>
        <w:tc>
          <w:tcPr>
            <w:tcW w:w="0" w:type="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0</w:t>
            </w:r>
          </w:p>
        </w:tc>
        <w:tc>
          <w:tcPr>
            <w:tcW w:w="0" w:type="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1</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2</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3</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4</w:t>
            </w:r>
          </w:p>
        </w:tc>
        <w:tc>
          <w:tcPr>
            <w:tcW w:w="0" w:type="auto"/>
            <w:shd w:val="clear" w:color="auto" w:fill="auto"/>
          </w:tcPr>
          <w:p w:rsidR="001A075C" w:rsidRPr="00C86057" w:rsidRDefault="001A075C" w:rsidP="00C86057">
            <w:pPr>
              <w:jc w:val="center"/>
              <w:rPr>
                <w:rFonts w:ascii="Times New Roman" w:hAnsi="Times New Roman" w:cs="Times New Roman"/>
                <w:b/>
                <w:bCs/>
                <w:sz w:val="24"/>
                <w:szCs w:val="24"/>
              </w:rPr>
            </w:pPr>
            <w:r w:rsidRPr="00C86057">
              <w:rPr>
                <w:rFonts w:ascii="Times New Roman" w:hAnsi="Times New Roman" w:cs="Times New Roman"/>
                <w:b/>
                <w:bCs/>
                <w:sz w:val="24"/>
                <w:szCs w:val="24"/>
              </w:rPr>
              <w:t>5(3*4)</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Carton XEROX Premier -alb,A4. 160gr/mp, 250 coli /top,format A4 (210 x 297 mm), sau echivalent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22,00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660</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Carton XEROX Premier -alb mat, A4. 160gr/mp, 250 coli /top,format A4 (210 x 297 mm), sau echivalent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4</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22,00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88</w:t>
            </w:r>
          </w:p>
        </w:tc>
      </w:tr>
      <w:tr w:rsidR="00C86057" w:rsidRPr="00C86057" w:rsidTr="00C86057">
        <w:trPr>
          <w:trHeight w:val="417"/>
          <w:tblHeader/>
        </w:trPr>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Container arhivare 43,3 x 26,3 x 36,4 cm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4</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Cutie arhivare Smart 10 cm  sau echivalent  , din carton ondulat, alb , dimensiune cotor 10 cm, dimensiuni : 34cm x 25cm  x 10cm (latime)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4.515</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4515</w:t>
            </w:r>
          </w:p>
        </w:tc>
      </w:tr>
      <w:tr w:rsidR="00C86057" w:rsidRPr="00C86057" w:rsidTr="00C86057">
        <w:trPr>
          <w:trHeight w:val="408"/>
          <w:tblHeader/>
        </w:trPr>
        <w:tc>
          <w:tcPr>
            <w:tcW w:w="0" w:type="auto"/>
          </w:tcPr>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Cutii arhivare 33 x 25,5 x 16 cm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36</w:t>
            </w:r>
          </w:p>
        </w:tc>
      </w:tr>
      <w:tr w:rsidR="00C86057" w:rsidRPr="00C86057" w:rsidTr="00C86057">
        <w:trPr>
          <w:trHeight w:val="372"/>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Dosare cu sina ,carton alb,format A4</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6.000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1200</w:t>
            </w:r>
          </w:p>
        </w:tc>
      </w:tr>
      <w:tr w:rsidR="00C86057" w:rsidRPr="00C86057" w:rsidTr="00C86057">
        <w:trPr>
          <w:trHeight w:val="819"/>
          <w:tblHeader/>
        </w:trPr>
        <w:tc>
          <w:tcPr>
            <w:tcW w:w="0" w:type="auto"/>
          </w:tcPr>
          <w:p w:rsidR="00C86057" w:rsidRPr="00C86057" w:rsidRDefault="00C86057" w:rsidP="00C86057">
            <w:pPr>
              <w:spacing w:before="120" w:after="120" w:line="276" w:lineRule="auto"/>
              <w:rPr>
                <w:rFonts w:ascii="Times New Roman" w:hAnsi="Times New Roman" w:cs="Times New Roman"/>
                <w:bCs/>
                <w:i/>
                <w:iCs/>
                <w:sz w:val="24"/>
                <w:szCs w:val="24"/>
              </w:rPr>
            </w:pPr>
            <w:r w:rsidRPr="00C86057">
              <w:rPr>
                <w:rFonts w:ascii="Times New Roman" w:hAnsi="Times New Roman" w:cs="Times New Roman"/>
                <w:color w:val="000000"/>
                <w:sz w:val="24"/>
                <w:szCs w:val="24"/>
                <w:lang w:eastAsia="ro-RO"/>
              </w:rPr>
              <w:t>7</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Dosare încopciat 1/2 carton,duplex alb, 230gr/mp,format A4  format 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6.000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1200</w:t>
            </w:r>
          </w:p>
        </w:tc>
      </w:tr>
      <w:tr w:rsidR="00C86057" w:rsidRPr="00C86057" w:rsidTr="00C86057">
        <w:trPr>
          <w:trHeight w:val="498"/>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8</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Dosare plic, carton duplex alb ,format A4 , 230gr/mp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7.250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1450</w:t>
            </w:r>
          </w:p>
        </w:tc>
      </w:tr>
      <w:tr w:rsidR="00C86057" w:rsidRPr="00C86057" w:rsidTr="00C86057">
        <w:trPr>
          <w:trHeight w:val="462"/>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9</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Etichete  albe autocolante,două etichete/A4,100coli/top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33</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396</w:t>
            </w:r>
          </w:p>
        </w:tc>
      </w:tr>
      <w:tr w:rsidR="00C86057" w:rsidRPr="00C86057" w:rsidTr="00C86057">
        <w:trPr>
          <w:trHeight w:val="435"/>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10</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Hartie calc-format A3 ( 297 mm x 420 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25,00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25</w:t>
            </w:r>
          </w:p>
        </w:tc>
      </w:tr>
      <w:tr w:rsidR="00C86057" w:rsidRPr="00C86057" w:rsidTr="00C86057">
        <w:trPr>
          <w:trHeight w:val="498"/>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11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Hartie XEROX Business ,A3 80 gr /mp, 500coli /top, format A3 (420 x297 mm), sau echivalent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20,00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6000</w:t>
            </w:r>
          </w:p>
        </w:tc>
      </w:tr>
      <w:tr w:rsidR="00C86057" w:rsidRPr="00C86057" w:rsidTr="00C86057">
        <w:trPr>
          <w:trHeight w:val="615"/>
          <w:tblHeader/>
        </w:trPr>
        <w:tc>
          <w:tcPr>
            <w:tcW w:w="0" w:type="auto"/>
          </w:tcPr>
          <w:p w:rsidR="00C86057" w:rsidRPr="00C86057" w:rsidRDefault="00C86057" w:rsidP="00C86057">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12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Hartie XEROX business ,A4 80 gr /mp,500 coli/top,format A4 (210 x 297 mm),sau echivalent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top</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9.000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9,89</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89010</w:t>
            </w:r>
          </w:p>
        </w:tc>
      </w:tr>
      <w:tr w:rsidR="00C86057" w:rsidRPr="00C86057" w:rsidTr="00C86057">
        <w:trPr>
          <w:trHeight w:val="819"/>
          <w:tblHeader/>
        </w:trPr>
        <w:tc>
          <w:tcPr>
            <w:tcW w:w="0" w:type="auto"/>
          </w:tcPr>
          <w:p w:rsidR="00C86057" w:rsidRPr="00C86057" w:rsidRDefault="00C86057" w:rsidP="00C86057">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t>13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DL cu fereastra,albe 220*110 mm,gumat,80 gr,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10.200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510</w:t>
            </w:r>
          </w:p>
        </w:tc>
      </w:tr>
      <w:tr w:rsidR="00C86057" w:rsidRPr="00C86057" w:rsidTr="00BA40BA">
        <w:trPr>
          <w:trHeight w:val="633"/>
          <w:tblHeader/>
        </w:trPr>
        <w:tc>
          <w:tcPr>
            <w:tcW w:w="0" w:type="auto"/>
          </w:tcPr>
          <w:p w:rsidR="00C86057" w:rsidRPr="00C86057" w:rsidRDefault="00C86057" w:rsidP="00BA40BA">
            <w:pPr>
              <w:spacing w:before="120" w:after="120" w:line="276" w:lineRule="auto"/>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14</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DL,albe 220*110 mm,gumat,80 gr,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500</w:t>
            </w:r>
          </w:p>
        </w:tc>
      </w:tr>
      <w:tr w:rsidR="00C86057" w:rsidRPr="00C86057" w:rsidTr="00BA40BA">
        <w:trPr>
          <w:trHeight w:val="345"/>
          <w:tblHeader/>
        </w:trPr>
        <w:tc>
          <w:tcPr>
            <w:tcW w:w="0" w:type="auto"/>
          </w:tcPr>
          <w:p w:rsidR="00C86057" w:rsidRPr="00C86057" w:rsidRDefault="00C86057" w:rsidP="00BA40BA">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t>15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mari C4,albe,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9.000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0,13</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1170</w:t>
            </w:r>
          </w:p>
        </w:tc>
      </w:tr>
      <w:tr w:rsidR="00C86057" w:rsidRPr="00C86057" w:rsidTr="00C86057">
        <w:trPr>
          <w:trHeight w:val="819"/>
          <w:tblHeader/>
        </w:trPr>
        <w:tc>
          <w:tcPr>
            <w:tcW w:w="0" w:type="auto"/>
          </w:tcPr>
          <w:p w:rsidR="00C86057" w:rsidRPr="00C86057" w:rsidRDefault="00C86057" w:rsidP="00BA40BA">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t>16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mici C6,albe 114 x 162 mm,80g/mp,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23.000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0,03</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690</w:t>
            </w:r>
          </w:p>
        </w:tc>
      </w:tr>
      <w:tr w:rsidR="00C86057" w:rsidRPr="00C86057" w:rsidTr="00BA40BA">
        <w:trPr>
          <w:trHeight w:val="930"/>
          <w:tblHeader/>
        </w:trPr>
        <w:tc>
          <w:tcPr>
            <w:tcW w:w="0" w:type="auto"/>
          </w:tcPr>
          <w:p w:rsidR="00C86057" w:rsidRPr="00C86057" w:rsidRDefault="00C86057" w:rsidP="00C86057">
            <w:pPr>
              <w:spacing w:before="120" w:after="120" w:line="276" w:lineRule="auto"/>
              <w:jc w:val="center"/>
              <w:rPr>
                <w:rFonts w:ascii="Times New Roman" w:hAnsi="Times New Roman" w:cs="Times New Roman"/>
                <w:bCs/>
                <w:sz w:val="24"/>
                <w:szCs w:val="24"/>
              </w:rPr>
            </w:pPr>
          </w:p>
          <w:p w:rsidR="00C86057" w:rsidRPr="00C86057" w:rsidRDefault="00C86057" w:rsidP="00BA40BA">
            <w:pPr>
              <w:spacing w:before="120" w:after="120" w:line="276" w:lineRule="auto"/>
              <w:jc w:val="center"/>
              <w:rPr>
                <w:rFonts w:ascii="Times New Roman" w:hAnsi="Times New Roman" w:cs="Times New Roman"/>
                <w:bCs/>
                <w:sz w:val="24"/>
                <w:szCs w:val="24"/>
              </w:rPr>
            </w:pPr>
            <w:r w:rsidRPr="00C86057">
              <w:rPr>
                <w:rFonts w:ascii="Times New Roman" w:hAnsi="Times New Roman" w:cs="Times New Roman"/>
                <w:bCs/>
                <w:sz w:val="24"/>
                <w:szCs w:val="24"/>
              </w:rPr>
              <w:t>17</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mijlocii C5 (162 x 229 mm),alb,siliconic,80gr/mp cu fereastra dreapta sus- deschidere pe latura mare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750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0,07</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52,5</w:t>
            </w:r>
          </w:p>
        </w:tc>
      </w:tr>
      <w:tr w:rsidR="00C86057" w:rsidRPr="00C86057" w:rsidTr="00C86057">
        <w:trPr>
          <w:trHeight w:val="819"/>
          <w:tblHeader/>
        </w:trPr>
        <w:tc>
          <w:tcPr>
            <w:tcW w:w="0" w:type="auto"/>
          </w:tcPr>
          <w:p w:rsidR="00C86057" w:rsidRPr="00C86057" w:rsidRDefault="00C86057" w:rsidP="00BA40BA">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lastRenderedPageBreak/>
              <w:t>18</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mijlocii C5,albe,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19.500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0,06</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1170</w:t>
            </w:r>
          </w:p>
        </w:tc>
      </w:tr>
      <w:tr w:rsidR="00C86057" w:rsidRPr="00C86057" w:rsidTr="00C86057">
        <w:trPr>
          <w:trHeight w:val="819"/>
          <w:tblHeader/>
        </w:trPr>
        <w:tc>
          <w:tcPr>
            <w:tcW w:w="0" w:type="auto"/>
          </w:tcPr>
          <w:p w:rsidR="00C86057" w:rsidRPr="00C86057" w:rsidRDefault="00C86057" w:rsidP="00BA40BA">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t>19</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Role plotter A1, Latime 594 mm, Lungime 50 m, Diametru interior tambur 50 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role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25,00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250</w:t>
            </w:r>
          </w:p>
        </w:tc>
      </w:tr>
      <w:tr w:rsidR="00C86057" w:rsidRPr="00C86057" w:rsidTr="00C86057">
        <w:trPr>
          <w:trHeight w:val="819"/>
          <w:tblHeader/>
        </w:trPr>
        <w:tc>
          <w:tcPr>
            <w:tcW w:w="0" w:type="auto"/>
          </w:tcPr>
          <w:p w:rsidR="00C86057" w:rsidRPr="00C86057" w:rsidRDefault="00C86057" w:rsidP="00BA40BA">
            <w:pPr>
              <w:spacing w:before="120" w:after="120" w:line="276" w:lineRule="auto"/>
              <w:rPr>
                <w:rFonts w:ascii="Times New Roman" w:hAnsi="Times New Roman" w:cs="Times New Roman"/>
                <w:bCs/>
                <w:sz w:val="24"/>
                <w:szCs w:val="24"/>
              </w:rPr>
            </w:pPr>
            <w:r w:rsidRPr="00C86057">
              <w:rPr>
                <w:rFonts w:ascii="Times New Roman" w:hAnsi="Times New Roman" w:cs="Times New Roman"/>
                <w:bCs/>
                <w:sz w:val="24"/>
                <w:szCs w:val="24"/>
              </w:rPr>
              <w:t>20</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DL cu fereastra pe partea dreapta,albe 220*110 mm,gumat,80 gr, clapa pe latura lungă,</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800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40</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bCs/>
                <w:sz w:val="24"/>
                <w:szCs w:val="24"/>
              </w:rPr>
            </w:pPr>
          </w:p>
          <w:p w:rsidR="00C86057" w:rsidRPr="00C86057" w:rsidRDefault="00C86057" w:rsidP="00C86057">
            <w:pPr>
              <w:spacing w:before="120" w:after="120" w:line="276" w:lineRule="auto"/>
              <w:jc w:val="center"/>
              <w:rPr>
                <w:rFonts w:ascii="Times New Roman" w:hAnsi="Times New Roman" w:cs="Times New Roman"/>
                <w:bCs/>
                <w:sz w:val="24"/>
                <w:szCs w:val="24"/>
              </w:rPr>
            </w:pPr>
            <w:r w:rsidRPr="00C86057">
              <w:rPr>
                <w:rFonts w:ascii="Times New Roman" w:hAnsi="Times New Roman" w:cs="Times New Roman"/>
                <w:bCs/>
                <w:sz w:val="24"/>
                <w:szCs w:val="24"/>
              </w:rPr>
              <w:t>21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Plicuri autoadezive mijlocii C5, model LC /5, alb, siliconic, cu fereastra mijloc dreapta ( cu dimensiunea de 9/4 mm ) - deschidere pe latura mare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25.000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0,07</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1750</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bCs/>
                <w:sz w:val="24"/>
                <w:szCs w:val="24"/>
              </w:rPr>
            </w:pPr>
            <w:r w:rsidRPr="00C86057">
              <w:rPr>
                <w:rFonts w:ascii="Times New Roman" w:hAnsi="Times New Roman" w:cs="Times New Roman"/>
                <w:bCs/>
                <w:sz w:val="24"/>
                <w:szCs w:val="24"/>
              </w:rPr>
              <w:t>22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Plic C4 cu burduf,229x324x40mm,130gr/mp,maro siliconic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1.020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0,35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357</w:t>
            </w:r>
          </w:p>
        </w:tc>
      </w:tr>
      <w:tr w:rsidR="00C86057" w:rsidRPr="00C86057" w:rsidTr="00BA40BA">
        <w:trPr>
          <w:trHeight w:val="417"/>
          <w:tblHeader/>
        </w:trPr>
        <w:tc>
          <w:tcPr>
            <w:tcW w:w="0" w:type="auto"/>
          </w:tcPr>
          <w:p w:rsidR="00C86057" w:rsidRPr="00C86057" w:rsidRDefault="00C86057" w:rsidP="00C86057">
            <w:pPr>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rPr>
              <w:t>23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Agrafe 28 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0,34</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408</w:t>
            </w:r>
          </w:p>
        </w:tc>
      </w:tr>
      <w:tr w:rsidR="00C86057" w:rsidRPr="00C86057" w:rsidTr="00BA40BA">
        <w:trPr>
          <w:trHeight w:val="390"/>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24</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Agrafe 50 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0,90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90</w:t>
            </w:r>
          </w:p>
        </w:tc>
      </w:tr>
      <w:tr w:rsidR="00C86057" w:rsidRPr="00C86057" w:rsidTr="00C86057">
        <w:trPr>
          <w:trHeight w:val="819"/>
          <w:tblHeader/>
        </w:trPr>
        <w:tc>
          <w:tcPr>
            <w:tcW w:w="0" w:type="auto"/>
          </w:tcPr>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p>
          <w:p w:rsidR="00C86057" w:rsidRPr="00C86057" w:rsidRDefault="00C86057" w:rsidP="00C86057">
            <w:pPr>
              <w:spacing w:before="120" w:after="120" w:line="276" w:lineRule="auto"/>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lang w:eastAsia="ro-RO"/>
              </w:rPr>
              <w:t>25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Biblioraft coperti plastifiate cu interior plastifiat latime 7,5 cm, prevazut cu eticheta interschimbabila orificiu de extragere, margini metalice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5400</w:t>
            </w:r>
          </w:p>
        </w:tc>
      </w:tr>
      <w:tr w:rsidR="00C86057" w:rsidRPr="00C86057" w:rsidTr="00BA40BA">
        <w:trPr>
          <w:trHeight w:val="642"/>
          <w:tblHeader/>
        </w:trPr>
        <w:tc>
          <w:tcPr>
            <w:tcW w:w="0" w:type="auto"/>
          </w:tcPr>
          <w:p w:rsidR="00C86057" w:rsidRPr="00C86057" w:rsidRDefault="00C86057" w:rsidP="00C86057">
            <w:pPr>
              <w:jc w:val="center"/>
              <w:rPr>
                <w:rFonts w:ascii="Times New Roman" w:hAnsi="Times New Roman" w:cs="Times New Roman"/>
                <w:color w:val="000000"/>
                <w:sz w:val="24"/>
                <w:szCs w:val="24"/>
                <w:lang w:eastAsia="ro-RO"/>
              </w:rPr>
            </w:pPr>
            <w:r w:rsidRPr="00C86057">
              <w:rPr>
                <w:rFonts w:ascii="Times New Roman" w:hAnsi="Times New Roman" w:cs="Times New Roman"/>
                <w:color w:val="000000"/>
                <w:sz w:val="24"/>
                <w:szCs w:val="24"/>
              </w:rPr>
              <w:t>26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Banda corectoare Kores sau echivalent , 4,2 mm x 15 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220</w:t>
            </w:r>
          </w:p>
        </w:tc>
      </w:tr>
      <w:tr w:rsidR="00C86057" w:rsidRPr="00C86057" w:rsidTr="00C86057">
        <w:trPr>
          <w:trHeight w:val="363"/>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27</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Buretiera din plastic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0,40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48</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28</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Caiete A5 ,48 file ,coperti policromie hartie 70g/mp , matematica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0,50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25</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29</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Caiete A5 ,48 file ,coperti policromie hartie 70g/mp ,dictando</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0,50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25</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30</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Caiete cu spirale A4 ,coperta PP,96 file- 70g/mp dictando</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60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216</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Caiete cu spirale A4 ,coperta PP,96 file- 70g/mp matematica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180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Capsator metalic 24/6,capacitate max.de capsare 40 coli</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4,00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200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Capse 24/6 metalice, 1000 buc/cutie, capacitate de capsare de pana la 30 coli</w:t>
            </w:r>
          </w:p>
        </w:tc>
        <w:tc>
          <w:tcPr>
            <w:tcW w:w="0" w:type="auto"/>
            <w:tcBorders>
              <w:bottom w:val="single" w:sz="4" w:space="0" w:color="auto"/>
            </w:tcBorders>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0,30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34</w:t>
            </w:r>
          </w:p>
        </w:tc>
        <w:tc>
          <w:tcPr>
            <w:tcW w:w="0" w:type="auto"/>
            <w:tcBorders>
              <w:right w:val="single" w:sz="4" w:space="0" w:color="auto"/>
            </w:tcBorders>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Cub hartie lipit pe o parte,dim.85x85x40mm,Office Products,hartie alba sau echivalent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tcBorders>
              <w:left w:val="single" w:sz="4" w:space="0" w:color="auto"/>
            </w:tcBorders>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1,70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Creion cu mina grafit,  HB,cu radiera,hexagonal, BIC Evolution sau echivalent, din rasina sintetica 100%, nu contine PVC</w:t>
            </w:r>
          </w:p>
        </w:tc>
        <w:tc>
          <w:tcPr>
            <w:tcW w:w="0" w:type="auto"/>
            <w:tcBorders>
              <w:top w:val="single" w:sz="4" w:space="0" w:color="auto"/>
            </w:tcBorders>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0,10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lastRenderedPageBreak/>
              <w:t>36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Dosare plastic cu sina si gauri NOKI sau echivalent, 50 buc/set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0,28</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2800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37</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Datiera automata, mini datiera Colop S120,tusiera neagra/albastru</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25</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38</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Fluid corector pe baza de solvent  KORES sau echivalent 20 ml</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100</w:t>
            </w:r>
          </w:p>
        </w:tc>
      </w:tr>
      <w:tr w:rsidR="00C86057" w:rsidRPr="00C86057" w:rsidTr="00BA40BA">
        <w:trPr>
          <w:trHeight w:val="417"/>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39</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Foarfeci otel, 130mm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r>
      <w:tr w:rsidR="00C86057" w:rsidRPr="00C86057" w:rsidTr="00C86057">
        <w:trPr>
          <w:trHeight w:val="390"/>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40</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Lipici solid stick ,fara solvent, 20gr</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0,40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Roller tip pen- permanent, varf 0,6 mm albastru Centropen sau echivalent lungime sriere 2000 mm, varf carbura de tungsten, cerneala inodora, pe baza de apa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60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Roller tip pen- permanent, varf 0,5 mm negru Centropen sau echivalent lungime sriere 2000 mm, varf carbura de tungsten, cerneala inodora, pe baza de apa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180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Roller tip pen- permanent, varf 0,5 mm rosu Centropen sau echivalent lungime sriere 2000 mm, varf carbura de tungsten, cerneala inodora, pe baza de apa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44</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File protectie A4 ,  transparente NOKI,sau echivalent , perforatii standard pentru indosariere format A4, 100 buc/set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set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4,50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4500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Index 5 culori/set adezive , din plastic tip Jin Xin sau echivalent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set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0,60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300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Pix Schneider sau echivalent ,K 15 , plastic cu mecanism,clip metalic -scriere albastra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2.500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0,35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875</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47</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Pix Schneider sau echivalent Tops 505F,unica folosinta,varf fin, corp orange,scriere albastra</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3.000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0,15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48</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Text marker varf tesit,scriere 1-5 mm (4 buc/set), culori : galben,roz,verde,albastru</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set</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1,50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49</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Marker permanent ,negru 2-4 mm,varf rotund ,cerneala permanenta pe baza de alcool, rezistent la apa si temperaturi de peste 100 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0,25</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Mapa tip servieta  PVC/plastic A4 cu maner,doua compartimente pentru transport documente si dosare A4,culoare neagra,inchidere cu buton, dimensiune 330/250 mm</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50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7,20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360</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51</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Mapa carton 350g/mp plastifiat lucios cu elastic pe latura lunga ,12buc/set ,rosu</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0,70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84</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52</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Mapa carton 350g/mp plastifiat lucios cu elastic pe latura lunga ,12buc/set , verde</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240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0,70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168</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lastRenderedPageBreak/>
              <w:t>53</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Mapa carton 350g/mp plastifiat lucios cu elastic pe latura lunga ,12buc/set , negru</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240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0,70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168</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54</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Mapa carton 350g/mp plastifiat lucios cu elastic pe latura lunga ,12buc/set , indigo</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120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0,70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84</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55</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Registru A4, 200 file dictando, coperti carton rigid</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7,92</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79,2</w:t>
            </w:r>
          </w:p>
        </w:tc>
      </w:tr>
      <w:tr w:rsidR="00C86057" w:rsidRPr="00C86057" w:rsidTr="00C86057">
        <w:trPr>
          <w:trHeight w:val="819"/>
          <w:tblHeader/>
        </w:trPr>
        <w:tc>
          <w:tcPr>
            <w:tcW w:w="0" w:type="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56</w:t>
            </w:r>
          </w:p>
        </w:tc>
        <w:tc>
          <w:tcPr>
            <w:tcW w:w="0" w:type="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Tus TR pentru tusiere,culoare albastru,fara ulei,cu recipient prevazut cu picurator</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buc</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100</w:t>
            </w:r>
          </w:p>
        </w:tc>
        <w:tc>
          <w:tcPr>
            <w:tcW w:w="0" w:type="auto"/>
            <w:shd w:val="clear" w:color="auto" w:fill="auto"/>
          </w:tcPr>
          <w:p w:rsidR="00C86057" w:rsidRPr="00C86057" w:rsidRDefault="00C86057" w:rsidP="00C86057">
            <w:pPr>
              <w:jc w:val="center"/>
              <w:rPr>
                <w:rFonts w:ascii="Times New Roman" w:hAnsi="Times New Roman" w:cs="Times New Roman"/>
                <w:sz w:val="24"/>
                <w:szCs w:val="24"/>
              </w:rPr>
            </w:pPr>
            <w:r w:rsidRPr="00C86057">
              <w:rPr>
                <w:rFonts w:ascii="Times New Roman" w:hAnsi="Times New Roman" w:cs="Times New Roman"/>
                <w:sz w:val="24"/>
                <w:szCs w:val="24"/>
              </w:rPr>
              <w:t>0,50</w:t>
            </w:r>
          </w:p>
        </w:tc>
        <w:tc>
          <w:tcPr>
            <w:tcW w:w="0" w:type="auto"/>
            <w:shd w:val="clear" w:color="auto" w:fill="auto"/>
          </w:tcPr>
          <w:p w:rsidR="00C86057" w:rsidRPr="00C86057" w:rsidRDefault="00C86057" w:rsidP="00C86057">
            <w:pPr>
              <w:jc w:val="center"/>
              <w:rPr>
                <w:rFonts w:ascii="Times New Roman" w:hAnsi="Times New Roman" w:cs="Times New Roman"/>
                <w:color w:val="000000"/>
                <w:sz w:val="24"/>
                <w:szCs w:val="24"/>
              </w:rPr>
            </w:pPr>
            <w:r w:rsidRPr="00C86057">
              <w:rPr>
                <w:rFonts w:ascii="Times New Roman" w:hAnsi="Times New Roman" w:cs="Times New Roman"/>
                <w:color w:val="000000"/>
                <w:sz w:val="24"/>
                <w:szCs w:val="24"/>
              </w:rPr>
              <w:t>50</w:t>
            </w:r>
          </w:p>
        </w:tc>
      </w:tr>
    </w:tbl>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Durata prezentului Contract începe de la data intrării în vigoare și se finalizează la data îndeplinirii obligațiilor contractuale în sarcina Părților.</w:t>
      </w:r>
    </w:p>
    <w:p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Contractul intră în vigoare la data semnării acestuia de către ambele părți.</w:t>
      </w:r>
    </w:p>
    <w:p w:rsidR="00DC0B4E" w:rsidRDefault="005A478C" w:rsidP="005A478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5.3.</w:t>
      </w:r>
      <w:r w:rsidR="002E7133">
        <w:rPr>
          <w:rFonts w:ascii="Times New Roman" w:eastAsia="Calibri" w:hAnsi="Times New Roman" w:cs="Times New Roman"/>
          <w:sz w:val="24"/>
          <w:szCs w:val="24"/>
        </w:rPr>
        <w:t xml:space="preserve"> </w:t>
      </w:r>
      <w:r w:rsidR="00DC0B4E" w:rsidRPr="005A478C">
        <w:rPr>
          <w:rFonts w:ascii="Times New Roman" w:eastAsia="Calibri" w:hAnsi="Times New Roman" w:cs="Times New Roman"/>
          <w:sz w:val="24"/>
          <w:szCs w:val="24"/>
        </w:rPr>
        <w:t>Furnizarea produselor aferente contractului va începe în termen</w:t>
      </w:r>
      <w:r w:rsidR="006C57B5" w:rsidRPr="005A478C">
        <w:rPr>
          <w:rFonts w:ascii="Times New Roman" w:eastAsia="Calibri" w:hAnsi="Times New Roman" w:cs="Times New Roman"/>
          <w:sz w:val="24"/>
          <w:szCs w:val="24"/>
        </w:rPr>
        <w:t xml:space="preserve">ul indicat în Caietul de sarcini, calculat </w:t>
      </w:r>
      <w:r w:rsidR="00DC0B4E" w:rsidRPr="005A478C">
        <w:rPr>
          <w:rFonts w:ascii="Times New Roman" w:eastAsia="Calibri" w:hAnsi="Times New Roman" w:cs="Times New Roman"/>
          <w:sz w:val="24"/>
          <w:szCs w:val="24"/>
        </w:rPr>
        <w:t>de la data semnării contractului de către ambele părți, și va dura până la data îndeplinirii obligațiilor contractuale în sarcina părților</w:t>
      </w:r>
      <w:r w:rsidR="0048149F">
        <w:rPr>
          <w:rFonts w:ascii="Times New Roman" w:eastAsia="Calibri" w:hAnsi="Times New Roman" w:cs="Times New Roman"/>
          <w:sz w:val="24"/>
          <w:szCs w:val="24"/>
        </w:rPr>
        <w:t xml:space="preserve">, respectiv </w:t>
      </w:r>
      <w:r w:rsidR="00D76686">
        <w:rPr>
          <w:rFonts w:ascii="Times New Roman" w:eastAsia="Calibri" w:hAnsi="Times New Roman" w:cs="Times New Roman"/>
          <w:sz w:val="24"/>
          <w:szCs w:val="24"/>
        </w:rPr>
        <w:t>15</w:t>
      </w:r>
      <w:r w:rsidR="0048149F">
        <w:rPr>
          <w:rFonts w:ascii="Times New Roman" w:eastAsia="Calibri" w:hAnsi="Times New Roman" w:cs="Times New Roman"/>
          <w:sz w:val="24"/>
          <w:szCs w:val="24"/>
        </w:rPr>
        <w:t xml:space="preserve"> zile.</w:t>
      </w:r>
    </w:p>
    <w:p w:rsidR="00674579" w:rsidRPr="005A478C" w:rsidRDefault="00674579" w:rsidP="005A478C">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Contractului</w:t>
      </w:r>
    </w:p>
    <w:p w:rsidR="00DC0B4E" w:rsidRPr="00DC0B4E" w:rsidRDefault="00DC0B4E" w:rsidP="008A28F0">
      <w:pPr>
        <w:numPr>
          <w:ilvl w:val="0"/>
          <w:numId w:val="9"/>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prezentului Contract</w:t>
      </w:r>
      <w:r w:rsidR="00D76686">
        <w:rPr>
          <w:rFonts w:ascii="Times New Roman" w:eastAsia="Calibri" w:hAnsi="Times New Roman" w:cs="Times New Roman"/>
          <w:sz w:val="24"/>
          <w:szCs w:val="24"/>
        </w:rPr>
        <w:t xml:space="preserve"> și ordinea de precedență în interpretarea acestora</w:t>
      </w:r>
      <w:r w:rsidRPr="00DC0B4E">
        <w:rPr>
          <w:rFonts w:ascii="Times New Roman" w:eastAsia="Calibri" w:hAnsi="Times New Roman" w:cs="Times New Roman"/>
          <w:sz w:val="24"/>
          <w:szCs w:val="24"/>
        </w:rPr>
        <w:t xml:space="preserve"> sunt:</w:t>
      </w:r>
    </w:p>
    <w:p w:rsidR="00DC0B4E" w:rsidRPr="00D76686" w:rsidRDefault="00D76686" w:rsidP="00D76686">
      <w:pPr>
        <w:pStyle w:val="ListParagraph"/>
        <w:numPr>
          <w:ilvl w:val="0"/>
          <w:numId w:val="10"/>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Caietul de sarcini nr. </w:t>
      </w:r>
      <w:r w:rsidR="00B64D7A">
        <w:rPr>
          <w:rFonts w:ascii="Times New Roman" w:eastAsia="Calibri" w:hAnsi="Times New Roman" w:cs="Times New Roman"/>
          <w:sz w:val="24"/>
          <w:szCs w:val="24"/>
        </w:rPr>
        <w:t>16765/03.03.2020</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tehnică</w:t>
      </w:r>
      <w:r w:rsidR="00D76686">
        <w:rPr>
          <w:rFonts w:ascii="Times New Roman" w:eastAsia="Calibri" w:hAnsi="Times New Roman" w:cs="Times New Roman"/>
          <w:sz w:val="24"/>
          <w:szCs w:val="24"/>
        </w:rPr>
        <w:t xml:space="preserve"> online</w:t>
      </w:r>
      <w:r w:rsidRPr="00DC0B4E">
        <w:rPr>
          <w:rFonts w:ascii="Times New Roman" w:eastAsia="Calibri" w:hAnsi="Times New Roman" w:cs="Times New Roman"/>
          <w:sz w:val="24"/>
          <w:szCs w:val="24"/>
        </w:rPr>
        <w:t>;</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financiară</w:t>
      </w:r>
      <w:r w:rsidR="00D76686">
        <w:rPr>
          <w:rFonts w:ascii="Times New Roman" w:eastAsia="Calibri" w:hAnsi="Times New Roman" w:cs="Times New Roman"/>
          <w:sz w:val="24"/>
          <w:szCs w:val="24"/>
        </w:rPr>
        <w:t xml:space="preserve"> online</w:t>
      </w:r>
      <w:r w:rsidRPr="00DC0B4E">
        <w:rPr>
          <w:rFonts w:ascii="Times New Roman" w:eastAsia="Calibri" w:hAnsi="Times New Roman" w:cs="Times New Roman"/>
          <w:sz w:val="24"/>
          <w:szCs w:val="24"/>
        </w:rPr>
        <w:t>;</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Ordinea de precedență</w:t>
      </w:r>
    </w:p>
    <w:p w:rsidR="00DC0B4E" w:rsidRPr="00DC0B4E" w:rsidRDefault="002E7133" w:rsidP="008A28F0">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DC0B4E" w:rsidRDefault="002E7133" w:rsidP="008A28F0">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302FE5" w:rsidRPr="00DC0B4E" w:rsidRDefault="00302FE5" w:rsidP="00302FE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Comunicarea între Părți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document (dispoziție, adresă, propunere, înregistrare, Proces-Verbal</w:t>
      </w:r>
      <w:r w:rsidR="002217AC">
        <w:rPr>
          <w:rFonts w:ascii="Times New Roman" w:eastAsia="Calibri" w:hAnsi="Times New Roman" w:cs="Times New Roman"/>
          <w:sz w:val="24"/>
          <w:szCs w:val="24"/>
        </w:rPr>
        <w:t>0,70</w:t>
      </w:r>
      <w:r w:rsidR="00DC0B4E" w:rsidRPr="00DC0B4E">
        <w:rPr>
          <w:rFonts w:ascii="Times New Roman" w:eastAsia="Calibri" w:hAnsi="Times New Roman" w:cs="Times New Roman"/>
          <w:sz w:val="24"/>
          <w:szCs w:val="24"/>
        </w:rPr>
        <w:t xml:space="preserve"> de Recepție, notificare și altele) întocmit în cadrul Contractului, este realizat și transmis, în scris, într-o formă ce poate fi citită, reprodusă și înregistrată.</w:t>
      </w: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Începere, Întârzieri, Sistare</w:t>
      </w:r>
    </w:p>
    <w:p w:rsidR="00DC0B4E" w:rsidRPr="00674579" w:rsidRDefault="00DC0B4E" w:rsidP="00674579">
      <w:pPr>
        <w:pStyle w:val="ListParagraph"/>
        <w:numPr>
          <w:ilvl w:val="1"/>
          <w:numId w:val="1"/>
        </w:numPr>
        <w:spacing w:before="120" w:after="120" w:line="276" w:lineRule="auto"/>
        <w:jc w:val="both"/>
        <w:rPr>
          <w:rFonts w:ascii="Times New Roman" w:eastAsia="Calibri" w:hAnsi="Times New Roman" w:cs="Times New Roman"/>
          <w:sz w:val="24"/>
          <w:szCs w:val="24"/>
        </w:rPr>
      </w:pPr>
      <w:r w:rsidRPr="00674579">
        <w:rPr>
          <w:rFonts w:ascii="Times New Roman" w:eastAsia="Calibri" w:hAnsi="Times New Roman" w:cs="Times New Roman"/>
          <w:sz w:val="24"/>
          <w:szCs w:val="24"/>
        </w:rPr>
        <w:t>Contractantul are obligația de a începe furnizarea Produselor în conformitate cu prevederile art. 5.3 din prezentul contract.</w:t>
      </w:r>
    </w:p>
    <w:p w:rsidR="00674579" w:rsidRPr="00674579" w:rsidRDefault="00674579" w:rsidP="00674579">
      <w:pPr>
        <w:pStyle w:val="ListParagraph"/>
        <w:spacing w:before="120" w:after="120" w:line="276" w:lineRule="auto"/>
        <w:ind w:left="1066"/>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Subcontractarea, dacă este cazul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sidR="00AA3194">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.4</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.5</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.6</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Niciun Contract de Subcontractare nu creează raporturi contractuale între Subcontractant și Autoritate</w:t>
      </w:r>
      <w:r w:rsidR="00AA3194">
        <w:rPr>
          <w:rFonts w:ascii="Times New Roman" w:eastAsia="Calibri" w:hAnsi="Times New Roman" w:cs="Times New Roman"/>
          <w:sz w:val="24"/>
          <w:szCs w:val="24"/>
        </w:rPr>
        <w:t>a</w:t>
      </w:r>
      <w:r w:rsidR="00DC0B4E"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.7</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.8</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.9</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.10</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1</w:t>
      </w:r>
      <w:r w:rsidR="00F673C8">
        <w:rPr>
          <w:rFonts w:ascii="Times New Roman" w:eastAsia="Calibri" w:hAnsi="Times New Roman" w:cs="Times New Roman"/>
          <w:sz w:val="24"/>
          <w:szCs w:val="24"/>
        </w:rPr>
        <w:t>.</w:t>
      </w:r>
      <w:r w:rsidR="00DC0B4E" w:rsidRPr="005358D3">
        <w:rPr>
          <w:rFonts w:ascii="Times New Roman" w:eastAsia="Calibri" w:hAnsi="Times New Roman" w:cs="Times New Roman"/>
          <w:sz w:val="24"/>
          <w:szCs w:val="24"/>
        </w:rPr>
        <w:t>Cesiunea</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1</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În prezentul Contract </w:t>
      </w:r>
      <w:r w:rsidR="00AA3194">
        <w:rPr>
          <w:rFonts w:ascii="Times New Roman" w:eastAsia="Calibri" w:hAnsi="Times New Roman" w:cs="Times New Roman"/>
          <w:sz w:val="24"/>
          <w:szCs w:val="24"/>
        </w:rPr>
        <w:t xml:space="preserve">nu </w:t>
      </w:r>
      <w:r w:rsidR="00DC0B4E" w:rsidRPr="00DC0B4E">
        <w:rPr>
          <w:rFonts w:ascii="Times New Roman" w:eastAsia="Calibri" w:hAnsi="Times New Roman" w:cs="Times New Roman"/>
          <w:sz w:val="24"/>
          <w:szCs w:val="24"/>
        </w:rPr>
        <w:t>este permisă cesiunea drepturilor și obligațiilor născute din acest Contract.</w:t>
      </w:r>
    </w:p>
    <w:p w:rsidR="00BA40BA" w:rsidRDefault="00BA40BA" w:rsidP="005358D3">
      <w:pPr>
        <w:spacing w:before="120" w:after="120" w:line="276" w:lineRule="auto"/>
        <w:ind w:left="361"/>
        <w:jc w:val="both"/>
        <w:rPr>
          <w:rFonts w:ascii="Times New Roman" w:eastAsia="Calibri" w:hAnsi="Times New Roman" w:cs="Times New Roman"/>
          <w:sz w:val="24"/>
          <w:szCs w:val="24"/>
        </w:rPr>
      </w:pPr>
    </w:p>
    <w:p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5358D3">
        <w:rPr>
          <w:rFonts w:ascii="Times New Roman" w:eastAsia="Calibri" w:hAnsi="Times New Roman" w:cs="Times New Roman"/>
          <w:sz w:val="24"/>
          <w:szCs w:val="24"/>
        </w:rPr>
        <w:t>Confidențialitatea informațiilor și protecția datelor cu caracter personal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Obligațiile principale ale Autorității/entității contractante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respecte dispozițiile din Caietul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00DC0B4E"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.4.</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.5</w:t>
      </w:r>
      <w:r w:rsidR="002E713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se obligă să recepționeze produsele furnizate și să certifice conformitatea astfel cum este prevăzut în Caietul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.6.</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.7.</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Recepția produselor se va realiza conform procedurii prevăzute în Caietul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.8.</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Autoritatea contractantă se obligă să plătească Prețul Contractului către Contractant, în termen de maximum 30 de zile de la </w:t>
      </w:r>
      <w:r>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său și numai în condițiile Caietului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.9.</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emite factura împreună cu documentele justificative în conformitate cu prevederile Caietului de sarcini.</w:t>
      </w:r>
    </w:p>
    <w:p w:rsidR="00DC0B4E" w:rsidRPr="00DC0B4E" w:rsidRDefault="00DC0B4E" w:rsidP="00145D86">
      <w:pPr>
        <w:spacing w:before="120" w:after="120" w:line="276" w:lineRule="auto"/>
        <w:jc w:val="both"/>
        <w:rPr>
          <w:rFonts w:ascii="Times New Roman" w:eastAsia="Calibri" w:hAnsi="Times New Roman" w:cs="Times New Roman"/>
          <w:sz w:val="24"/>
          <w:szCs w:val="24"/>
        </w:rPr>
      </w:pPr>
    </w:p>
    <w:p w:rsidR="00DC0B4E" w:rsidRPr="00F673C8"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2E7133">
        <w:rPr>
          <w:rFonts w:ascii="Times New Roman" w:eastAsia="Calibri" w:hAnsi="Times New Roman" w:cs="Times New Roman"/>
          <w:sz w:val="24"/>
          <w:szCs w:val="24"/>
        </w:rPr>
        <w:t xml:space="preserve"> </w:t>
      </w:r>
      <w:r w:rsidR="00DC0B4E" w:rsidRPr="00F673C8">
        <w:rPr>
          <w:rFonts w:ascii="Times New Roman" w:eastAsia="Calibri" w:hAnsi="Times New Roman" w:cs="Times New Roman"/>
          <w:sz w:val="24"/>
          <w:szCs w:val="24"/>
        </w:rPr>
        <w:t>Obligațiile principale ale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DC0B4E" w:rsidRPr="005172A7"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DC0B4E" w:rsidRPr="00DC0B4E"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.4</w:t>
      </w:r>
      <w:r>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 xml:space="preserve">.5 </w:t>
      </w:r>
      <w:r w:rsidR="00DC0B4E" w:rsidRPr="00DC0B4E">
        <w:rPr>
          <w:rFonts w:ascii="Times New Roman" w:eastAsia="Calibri" w:hAnsi="Times New Roman" w:cs="Times New Roman"/>
          <w:sz w:val="24"/>
          <w:szCs w:val="24"/>
        </w:rPr>
        <w:t>Contractantul are obligația de</w:t>
      </w:r>
      <w:r w:rsidR="00BD1145">
        <w:rPr>
          <w:rFonts w:ascii="Times New Roman" w:eastAsia="Calibri" w:hAnsi="Times New Roman" w:cs="Times New Roman"/>
          <w:sz w:val="24"/>
          <w:szCs w:val="24"/>
        </w:rPr>
        <w:t xml:space="preserve"> a desemna, în termen de 2</w:t>
      </w:r>
      <w:r w:rsidR="00DC0B4E" w:rsidRPr="00DC0B4E">
        <w:rPr>
          <w:rFonts w:ascii="Times New Roman" w:eastAsia="Calibri" w:hAnsi="Times New Roman" w:cs="Times New Roman"/>
          <w:sz w:val="24"/>
          <w:szCs w:val="24"/>
        </w:rPr>
        <w:t xml:space="preserve"> (</w:t>
      </w:r>
      <w:r w:rsidR="00BD1145">
        <w:rPr>
          <w:rFonts w:ascii="Times New Roman" w:eastAsia="Calibri" w:hAnsi="Times New Roman" w:cs="Times New Roman"/>
          <w:sz w:val="24"/>
          <w:szCs w:val="24"/>
        </w:rPr>
        <w:t>două</w:t>
      </w:r>
      <w:r w:rsidR="00DC0B4E" w:rsidRPr="00DC0B4E">
        <w:rPr>
          <w:rFonts w:ascii="Times New Roman" w:eastAsia="Calibri" w:hAnsi="Times New Roman" w:cs="Times New Roman"/>
          <w:sz w:val="24"/>
          <w:szCs w:val="24"/>
        </w:rPr>
        <w:t>) zile de la semnarea contractului, persoana de contact.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.6</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obligația de a asigura disponibilitatea Personalulu</w:t>
      </w:r>
      <w:r w:rsidR="00BD1145">
        <w:rPr>
          <w:rFonts w:ascii="Times New Roman" w:eastAsia="Calibri" w:hAnsi="Times New Roman" w:cs="Times New Roman"/>
          <w:sz w:val="24"/>
          <w:szCs w:val="24"/>
        </w:rPr>
        <w:t>i, pe toată durata Contractului</w:t>
      </w:r>
      <w:r w:rsidR="00DC0B4E" w:rsidRPr="00DC0B4E">
        <w:rPr>
          <w:rFonts w:ascii="Times New Roman" w:eastAsia="Calibri" w:hAnsi="Times New Roman" w:cs="Times New Roman"/>
          <w:sz w:val="24"/>
          <w:szCs w:val="24"/>
        </w:rPr>
        <w:t>. Contractantul trebuie să se asigure că, pentru toată perioada Contractului, Personalul principal alocat fiecărei activități vor îndeplini obligațiile stabilite în sarcina acestora.</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.7</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Costurile suplimentare generate de înlocuirea Personalului incumbă Contractantului.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.8</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se obligă să emită factura aferentă produselor furnizate prin prezentul Contract numai după aprobarea produselor în condițiile din Caietul de sarcini.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5172A7">
        <w:rPr>
          <w:rFonts w:ascii="Times New Roman" w:eastAsia="Calibri" w:hAnsi="Times New Roman" w:cs="Times New Roman"/>
          <w:sz w:val="24"/>
          <w:szCs w:val="24"/>
        </w:rPr>
        <w:t>4</w:t>
      </w:r>
      <w:r w:rsidR="00873123">
        <w:rPr>
          <w:rFonts w:ascii="Times New Roman" w:eastAsia="Calibri" w:hAnsi="Times New Roman" w:cs="Times New Roman"/>
          <w:sz w:val="24"/>
          <w:szCs w:val="24"/>
        </w:rPr>
        <w:t xml:space="preserve">.9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8B0B9E">
        <w:rPr>
          <w:rFonts w:ascii="Times New Roman" w:eastAsia="Calibri" w:hAnsi="Times New Roman" w:cs="Times New Roman"/>
          <w:sz w:val="24"/>
          <w:szCs w:val="24"/>
        </w:rPr>
        <w:t>.10</w:t>
      </w:r>
      <w:r>
        <w:rPr>
          <w:rFonts w:ascii="Times New Roman" w:eastAsia="Calibri" w:hAnsi="Times New Roman" w:cs="Times New Roman"/>
          <w:sz w:val="24"/>
          <w:szCs w:val="24"/>
        </w:rPr>
        <w:t>.</w:t>
      </w:r>
      <w:r w:rsidR="00873123">
        <w:rPr>
          <w:rFonts w:ascii="Times New Roman" w:eastAsia="Calibri" w:hAnsi="Times New Roman" w:cs="Times New Roman"/>
          <w:sz w:val="24"/>
          <w:szCs w:val="24"/>
        </w:rPr>
        <w:t xml:space="preserve"> Contractantul </w:t>
      </w:r>
      <w:r w:rsidR="00DC0B4E" w:rsidRPr="00DC0B4E">
        <w:rPr>
          <w:rFonts w:ascii="Times New Roman" w:eastAsia="Calibri" w:hAnsi="Times New Roman" w:cs="Times New Roman"/>
          <w:sz w:val="24"/>
          <w:szCs w:val="24"/>
        </w:rPr>
        <w:t>nu poate fi considerat răspunzător pentru încălcarea de către Autoritatea/entitatea Contractantă sau de către orice altă persoană a reglementărilor aplicabile în ceea ce privește modul de utilizare a Produselor.</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5172A7" w:rsidRDefault="00F673C8" w:rsidP="00F673C8">
      <w:pPr>
        <w:pStyle w:val="ListParagraph"/>
        <w:spacing w:before="120" w:after="120" w:line="276" w:lineRule="auto"/>
        <w:ind w:left="721"/>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DC0B4E" w:rsidRPr="005172A7">
        <w:rPr>
          <w:rFonts w:ascii="Times New Roman" w:eastAsia="Calibri" w:hAnsi="Times New Roman" w:cs="Times New Roman"/>
          <w:sz w:val="24"/>
          <w:szCs w:val="24"/>
        </w:rPr>
        <w:t>Obligații privind daunele și penalitățile de întârziere</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5</w:t>
      </w:r>
      <w:r>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p>
    <w:p w:rsidR="00DC0B4E" w:rsidRPr="00DC0B4E" w:rsidRDefault="00DC0B4E" w:rsidP="008A28F0">
      <w:pPr>
        <w:numPr>
          <w:ilvl w:val="0"/>
          <w:numId w:val="2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C0B4E" w:rsidRPr="00DC0B4E" w:rsidRDefault="00DC0B4E" w:rsidP="008A28F0">
      <w:pPr>
        <w:numPr>
          <w:ilvl w:val="0"/>
          <w:numId w:val="2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00DC0B4E" w:rsidRPr="00DC0B4E">
        <w:rPr>
          <w:rFonts w:ascii="Times New Roman" w:eastAsia="Calibri" w:hAnsi="Times New Roman" w:cs="Times New Roman"/>
          <w:sz w:val="24"/>
          <w:szCs w:val="24"/>
        </w:rPr>
        <w:t>Contractantul va despăgubi Autoritatea/entitatea contractantă în măsura în care sunt îndeplinite cumulativ următoarele condiții: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despăgubirile să se refere exclusiv la daunele suferite de către Autoritatea/entitatea contractantă ca urmare a culpei Contractantului;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rsidR="00DC0B4E" w:rsidRPr="00DC0B4E" w:rsidRDefault="00DC0B4E" w:rsidP="008A28F0">
      <w:pPr>
        <w:numPr>
          <w:ilvl w:val="0"/>
          <w:numId w:val="27"/>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DC0B4E" w:rsidRPr="00DC0B4E">
        <w:rPr>
          <w:rFonts w:ascii="Times New Roman" w:eastAsia="Calibri" w:hAnsi="Times New Roman" w:cs="Times New Roman"/>
          <w:sz w:val="24"/>
          <w:szCs w:val="24"/>
        </w:rPr>
        <w:t xml:space="preserve">În cazul în care, Contractantul nu își îndeplinește la termen obligațiile asumate prin contract sau le îndeplinește necorespunzător, atunci Autoritatea/entitatea contractantă are dreptul de a percepe </w:t>
      </w:r>
      <w:r w:rsidR="00FA05A0">
        <w:rPr>
          <w:rFonts w:ascii="Times New Roman" w:eastAsia="Calibri" w:hAnsi="Times New Roman" w:cs="Times New Roman"/>
          <w:sz w:val="24"/>
          <w:szCs w:val="24"/>
        </w:rPr>
        <w:t>penalități în procent de 0,03 % pentru fiecare zi de întârziere, pana la îndeplinirea obligațiilor contractuale. Acestea</w:t>
      </w:r>
      <w:r w:rsidR="00DC0B4E" w:rsidRPr="00DC0B4E">
        <w:rPr>
          <w:rFonts w:ascii="Times New Roman" w:eastAsia="Calibri" w:hAnsi="Times New Roman" w:cs="Times New Roman"/>
          <w:sz w:val="24"/>
          <w:szCs w:val="24"/>
        </w:rPr>
        <w:t xml:space="preserve"> se aplică la valoarea produselor nelivrate pentru fiecare zi de întârziere, dar nu mai mult de valoarea contractului.</w:t>
      </w:r>
    </w:p>
    <w:p w:rsidR="00DC0B4E" w:rsidRPr="005172A7" w:rsidRDefault="005172A7" w:rsidP="005172A7">
      <w:pPr>
        <w:spacing w:before="120" w:after="120" w:line="276" w:lineRule="auto"/>
        <w:ind w:firstLine="349"/>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DC0B4E" w:rsidRPr="005172A7">
        <w:rPr>
          <w:rFonts w:ascii="Times New Roman" w:eastAsia="Calibri" w:hAnsi="Times New Roman" w:cs="Times New Roman"/>
          <w:sz w:val="24"/>
          <w:szCs w:val="24"/>
        </w:rPr>
        <w:t>Răspunderea Contractantului nu operează în următoarele situații:</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rsidR="00DC0B4E" w:rsidRPr="00DC0B4E" w:rsidRDefault="00DC0B4E" w:rsidP="008A28F0">
      <w:pPr>
        <w:numPr>
          <w:ilvl w:val="1"/>
          <w:numId w:val="28"/>
        </w:numPr>
        <w:spacing w:before="120" w:after="120" w:line="276" w:lineRule="auto"/>
        <w:ind w:left="709"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se află în imposibilitatea fortuită de executare a obligaților contractuale imputate.</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DC0B4E" w:rsidRPr="00DC0B4E">
        <w:rPr>
          <w:rFonts w:ascii="Times New Roman" w:eastAsia="Calibri" w:hAnsi="Times New Roman" w:cs="Times New Roman"/>
          <w:sz w:val="24"/>
          <w:szCs w:val="24"/>
        </w:rPr>
        <w:t xml:space="preserve">În cazul în care Autoritatea/entitatea contractantă, din vina sa exclusivă, nu își îndeplinește obligația de plată a facturii în termenul prevăzut la pct. </w:t>
      </w:r>
      <w:r w:rsidR="005A478C" w:rsidRPr="005A478C">
        <w:rPr>
          <w:rFonts w:ascii="Times New Roman" w:eastAsia="Calibri" w:hAnsi="Times New Roman" w:cs="Times New Roman"/>
          <w:sz w:val="24"/>
          <w:szCs w:val="24"/>
        </w:rPr>
        <w:t>13.8</w:t>
      </w:r>
      <w:r w:rsidR="005A478C">
        <w:rPr>
          <w:rFonts w:ascii="Times New Roman" w:eastAsia="Calibri" w:hAnsi="Times New Roman" w:cs="Times New Roman"/>
          <w:color w:val="FF0000"/>
          <w:sz w:val="24"/>
          <w:szCs w:val="24"/>
        </w:rPr>
        <w:t>.</w:t>
      </w:r>
      <w:r w:rsidR="00DC0B4E" w:rsidRPr="00DC0B4E">
        <w:rPr>
          <w:rFonts w:ascii="Times New Roman" w:eastAsia="Calibri" w:hAnsi="Times New Roman" w:cs="Times New Roman"/>
          <w:sz w:val="24"/>
          <w:szCs w:val="24"/>
        </w:rPr>
        <w:t xml:space="preserve">, Contractantul  are dreptul de a solicita plata dobânzii legale penalizatoare, aplicată la valoarea plății neefectuate, în </w:t>
      </w:r>
      <w:r w:rsidR="00FA05A0">
        <w:rPr>
          <w:rFonts w:ascii="Times New Roman" w:eastAsia="Calibri" w:hAnsi="Times New Roman" w:cs="Times New Roman"/>
          <w:sz w:val="24"/>
          <w:szCs w:val="24"/>
        </w:rPr>
        <w:t>în procent de 0,03% pentru fiecare zi de întârziere, pană la îndeplinirea obligațiilor</w:t>
      </w:r>
      <w:r w:rsidR="00DC0B4E" w:rsidRPr="00DC0B4E">
        <w:rPr>
          <w:rFonts w:ascii="Times New Roman" w:eastAsia="Calibri" w:hAnsi="Times New Roman" w:cs="Times New Roman"/>
          <w:sz w:val="24"/>
          <w:szCs w:val="24"/>
        </w:rPr>
        <w:t>, dar nu mai mult decât valoarea plații neefectuate, care curge de la expirarea termenului de plata.</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DC0B4E" w:rsidRPr="00DC0B4E">
        <w:rPr>
          <w:rFonts w:ascii="Times New Roman" w:eastAsia="Calibri" w:hAnsi="Times New Roman" w:cs="Times New Roman"/>
          <w:sz w:val="24"/>
          <w:szCs w:val="24"/>
        </w:rPr>
        <w:t>Penalitățile de întârziere datorate curg de drept din data scadenței obligațiilor asumate conform prezentului contract.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15.7.</w:t>
      </w:r>
      <w:r w:rsidR="00DC0B4E" w:rsidRPr="00DC0B4E">
        <w:rPr>
          <w:rFonts w:ascii="Times New Roman" w:eastAsia="Calibri" w:hAnsi="Times New Roman" w:cs="Times New Roman"/>
          <w:sz w:val="24"/>
          <w:szCs w:val="24"/>
        </w:rPr>
        <w:t xml:space="preserve">În măsura în care Autoritatea/entitatea contractantă nu efectuează plata în termenul stabilit la pct. </w:t>
      </w:r>
      <w:r w:rsidR="005A478C" w:rsidRPr="005A478C">
        <w:rPr>
          <w:rFonts w:ascii="Times New Roman" w:eastAsia="Calibri" w:hAnsi="Times New Roman" w:cs="Times New Roman"/>
          <w:sz w:val="24"/>
          <w:szCs w:val="24"/>
        </w:rPr>
        <w:t>13.8.</w:t>
      </w:r>
      <w:r w:rsidR="00DC0B4E" w:rsidRPr="005A478C">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rezoluționa/rezilia contractul, fără a-i fi afectate drepturile la sumele cuvenite pentru furnizarea produselor și la plata unor daune interese.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DC0B4E" w:rsidRPr="00DC0B4E">
        <w:rPr>
          <w:rFonts w:ascii="Times New Roman" w:eastAsia="Calibri" w:hAnsi="Times New Roman" w:cs="Times New Roman"/>
          <w:sz w:val="24"/>
          <w:szCs w:val="24"/>
        </w:rPr>
        <w:t>Obligații privind asigurările și securitatea muncii care trebuie respectate de către Contractant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00DC0B4E" w:rsidRPr="00DC0B4E">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00DC0B4E" w:rsidRPr="00DC0B4E">
        <w:rPr>
          <w:rFonts w:ascii="Times New Roman" w:eastAsia="Calibri" w:hAnsi="Times New Roman" w:cs="Times New Roman"/>
          <w:sz w:val="24"/>
          <w:szCs w:val="24"/>
        </w:rPr>
        <w:t>Contractantul este Partea asiguratoare, care are obligația de a încheia, înainte de începerea Contractului, Asigurările, astfel cum este stabilit în Caietul de Sarcini.</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DC0B4E" w:rsidRPr="00DC0B4E">
        <w:rPr>
          <w:rFonts w:ascii="Times New Roman" w:eastAsia="Calibri" w:hAnsi="Times New Roman" w:cs="Times New Roman"/>
          <w:sz w:val="24"/>
          <w:szCs w:val="24"/>
        </w:rPr>
        <w:t>Toate costurile ce decurg din sau în legătură cu încheierea și menținerea Asigurărilor Contractantului stabilită în prezentul Contract se suportă de către Contractant.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16.4.</w:t>
      </w:r>
      <w:r w:rsidR="00DC0B4E" w:rsidRPr="00DC0B4E">
        <w:rPr>
          <w:rFonts w:ascii="Times New Roman" w:eastAsia="Calibri" w:hAnsi="Times New Roman" w:cs="Times New Roman"/>
          <w:sz w:val="24"/>
          <w:szCs w:val="24"/>
        </w:rPr>
        <w:t>Orice daune neacoperite de beneficiile de asigurare cad în sarcina Părții obligate să suporte aceste daune conform Legii și/sau prevederilor contractuale.</w:t>
      </w:r>
    </w:p>
    <w:p w:rsidR="00BA40BA" w:rsidRPr="00DC0B4E" w:rsidRDefault="00BA40BA" w:rsidP="00DC0B4E">
      <w:pPr>
        <w:spacing w:before="120" w:after="120" w:line="276" w:lineRule="auto"/>
        <w:ind w:left="1"/>
        <w:jc w:val="both"/>
        <w:rPr>
          <w:rFonts w:ascii="Times New Roman" w:eastAsia="Calibri" w:hAnsi="Times New Roman" w:cs="Times New Roman"/>
          <w:sz w:val="24"/>
          <w:szCs w:val="24"/>
        </w:rPr>
      </w:pPr>
    </w:p>
    <w:p w:rsidR="00DC0B4E" w:rsidRPr="00FA05A0" w:rsidRDefault="00FA05A0" w:rsidP="00FA05A0">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053CE8">
        <w:rPr>
          <w:rFonts w:ascii="Times New Roman" w:eastAsia="Calibri" w:hAnsi="Times New Roman" w:cs="Times New Roman"/>
          <w:sz w:val="24"/>
          <w:szCs w:val="24"/>
        </w:rPr>
        <w:t xml:space="preserve"> </w:t>
      </w:r>
      <w:r w:rsidR="00DC0B4E" w:rsidRPr="00FA05A0">
        <w:rPr>
          <w:rFonts w:ascii="Times New Roman" w:eastAsia="Calibri" w:hAnsi="Times New Roman" w:cs="Times New Roman"/>
          <w:sz w:val="24"/>
          <w:szCs w:val="24"/>
        </w:rPr>
        <w:t>Obligații în legătură cu calitatea Produselor</w:t>
      </w:r>
    </w:p>
    <w:p w:rsidR="00DC0B4E" w:rsidRPr="00DC0B4E" w:rsidRDefault="00FA05A0"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 xml:space="preserve">Contractantul garantează Autorității/entității contractante că acesta operează un sistem de management al calității pentru Produsele furnizate în cadrul Contractului și că va aplica acest sistem, pe toată perioada derulării Contractului. Contractantul va </w:t>
      </w:r>
      <w:r>
        <w:rPr>
          <w:rFonts w:ascii="Times New Roman" w:eastAsia="Calibri" w:hAnsi="Times New Roman" w:cs="Times New Roman"/>
          <w:sz w:val="24"/>
          <w:szCs w:val="24"/>
        </w:rPr>
        <w:t>înlocui</w:t>
      </w:r>
      <w:r w:rsidR="00DC0B4E" w:rsidRPr="00DC0B4E">
        <w:rPr>
          <w:rFonts w:ascii="Times New Roman" w:eastAsia="Calibri" w:hAnsi="Times New Roman" w:cs="Times New Roman"/>
          <w:sz w:val="24"/>
          <w:szCs w:val="24"/>
        </w:rPr>
        <w:t xml:space="preserve">, pe cheltuiala sa, orice </w:t>
      </w:r>
      <w:r>
        <w:rPr>
          <w:rFonts w:ascii="Times New Roman" w:eastAsia="Calibri" w:hAnsi="Times New Roman" w:cs="Times New Roman"/>
          <w:sz w:val="24"/>
          <w:szCs w:val="24"/>
        </w:rPr>
        <w:t xml:space="preserve"> produse neconforme</w:t>
      </w:r>
      <w:r w:rsidR="00053CE8">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 astfel încât să demonstreze, în orice moment, Autorității/entității contractante, că </w:t>
      </w:r>
      <w:r w:rsidR="00053CE8">
        <w:rPr>
          <w:rFonts w:ascii="Times New Roman" w:eastAsia="Calibri" w:hAnsi="Times New Roman" w:cs="Times New Roman"/>
          <w:sz w:val="24"/>
          <w:szCs w:val="24"/>
        </w:rPr>
        <w:t>calitatea produselor furnizate</w:t>
      </w:r>
      <w:r w:rsidR="00DC0B4E" w:rsidRPr="00DC0B4E">
        <w:rPr>
          <w:rFonts w:ascii="Times New Roman" w:eastAsia="Calibri" w:hAnsi="Times New Roman" w:cs="Times New Roman"/>
          <w:sz w:val="24"/>
          <w:szCs w:val="24"/>
        </w:rPr>
        <w:t>, se realizează conform Planului de management al calității.</w:t>
      </w:r>
    </w:p>
    <w:p w:rsidR="00DC0B4E" w:rsidRPr="00DC0B4E" w:rsidRDefault="00FA05A0"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w:t>
      </w:r>
      <w:r w:rsidR="00053CE8">
        <w:rPr>
          <w:rFonts w:ascii="Times New Roman" w:eastAsia="Calibri" w:hAnsi="Times New Roman" w:cs="Times New Roman"/>
          <w:sz w:val="24"/>
          <w:szCs w:val="24"/>
        </w:rPr>
        <w:t xml:space="preserve">produselor neconforme </w:t>
      </w:r>
      <w:r w:rsidR="00DC0B4E" w:rsidRPr="00DC0B4E">
        <w:rPr>
          <w:rFonts w:ascii="Times New Roman" w:eastAsia="Calibri" w:hAnsi="Times New Roman" w:cs="Times New Roman"/>
          <w:sz w:val="24"/>
          <w:szCs w:val="24"/>
        </w:rPr>
        <w:t xml:space="preserve">care nu au </w:t>
      </w:r>
      <w:r w:rsidR="00053CE8">
        <w:rPr>
          <w:rFonts w:ascii="Times New Roman" w:eastAsia="Calibri" w:hAnsi="Times New Roman" w:cs="Times New Roman"/>
          <w:sz w:val="24"/>
          <w:szCs w:val="24"/>
        </w:rPr>
        <w:t>putut fi înlocuite</w:t>
      </w:r>
      <w:r w:rsidR="00DC0B4E" w:rsidRPr="00DC0B4E">
        <w:rPr>
          <w:rFonts w:ascii="Times New Roman" w:eastAsia="Calibri" w:hAnsi="Times New Roman" w:cs="Times New Roman"/>
          <w:sz w:val="24"/>
          <w:szCs w:val="24"/>
        </w:rPr>
        <w:t xml:space="preserve"> și comunică Autorității/entității contractante perioada de remediere a </w:t>
      </w:r>
      <w:r w:rsidR="00053CE8">
        <w:rPr>
          <w:rFonts w:ascii="Times New Roman" w:eastAsia="Calibri" w:hAnsi="Times New Roman" w:cs="Times New Roman"/>
          <w:sz w:val="24"/>
          <w:szCs w:val="24"/>
        </w:rPr>
        <w:t>situației</w:t>
      </w:r>
      <w:r w:rsidR="00DC0B4E" w:rsidRPr="00DC0B4E">
        <w:rPr>
          <w:rFonts w:ascii="Times New Roman" w:eastAsia="Calibri" w:hAnsi="Times New Roman" w:cs="Times New Roman"/>
          <w:sz w:val="24"/>
          <w:szCs w:val="24"/>
        </w:rPr>
        <w:t xml:space="preserve">.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B64D7A" w:rsidRPr="00DC0B4E" w:rsidRDefault="00B64D7A" w:rsidP="00DC0B4E">
      <w:pPr>
        <w:spacing w:before="120" w:after="120" w:line="276" w:lineRule="auto"/>
        <w:ind w:left="1"/>
        <w:jc w:val="both"/>
        <w:rPr>
          <w:rFonts w:ascii="Times New Roman" w:eastAsia="Calibri" w:hAnsi="Times New Roman" w:cs="Times New Roman"/>
          <w:sz w:val="24"/>
          <w:szCs w:val="24"/>
        </w:rPr>
      </w:pPr>
    </w:p>
    <w:p w:rsidR="00DC0B4E" w:rsidRPr="005A478C" w:rsidRDefault="00DC0B4E" w:rsidP="005A478C">
      <w:pPr>
        <w:pStyle w:val="ListParagraph"/>
        <w:numPr>
          <w:ilvl w:val="0"/>
          <w:numId w:val="57"/>
        </w:numPr>
        <w:spacing w:before="120" w:after="120" w:line="276" w:lineRule="auto"/>
        <w:jc w:val="both"/>
        <w:rPr>
          <w:rFonts w:ascii="Times New Roman" w:eastAsia="Calibri" w:hAnsi="Times New Roman" w:cs="Times New Roman"/>
          <w:sz w:val="24"/>
          <w:szCs w:val="24"/>
        </w:rPr>
      </w:pPr>
      <w:r w:rsidRPr="005A478C">
        <w:rPr>
          <w:rFonts w:ascii="Times New Roman" w:eastAsia="Calibri" w:hAnsi="Times New Roman" w:cs="Times New Roman"/>
          <w:sz w:val="24"/>
          <w:szCs w:val="24"/>
        </w:rPr>
        <w:t>Facturare și plăți în cadrul Contractului</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w:t>
      </w:r>
      <w:r w:rsidR="002A6FE3">
        <w:rPr>
          <w:rFonts w:ascii="Times New Roman" w:eastAsia="Calibri" w:hAnsi="Times New Roman" w:cs="Times New Roman"/>
          <w:sz w:val="24"/>
          <w:szCs w:val="24"/>
        </w:rPr>
        <w:t>tractantului indicat pe factură, de la următoarele diviziuni bugetare: 51.02.01.03 alin. 20.01.01 buget local, 51.02.01.03 alin 20.01.01 Taxe speciale, cap. 61.02.</w:t>
      </w:r>
      <w:r w:rsidR="00302FE5">
        <w:rPr>
          <w:rFonts w:ascii="Times New Roman" w:eastAsia="Calibri" w:hAnsi="Times New Roman" w:cs="Times New Roman"/>
          <w:sz w:val="24"/>
          <w:szCs w:val="24"/>
        </w:rPr>
        <w:t>.03.04 alin. 20.01.01 și cap. 54.02.10 taxe speciale alin. 20.01.01.</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Termenul de plată este de 30 de zile de la </w:t>
      </w:r>
      <w:r w:rsidR="000F5F8E">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Autorității/entității contractante în condițiile stabilite mai sus.</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Moneda utilizată în cadrul prezentului Contract: LEU</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Facturile furnizate vor fi emise și completate în conformitate cu legislația română în vigoare.</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BA40BA" w:rsidRPr="00DC0B4E" w:rsidRDefault="00BA40BA" w:rsidP="005172A7">
      <w:pPr>
        <w:spacing w:before="120" w:after="120" w:line="276" w:lineRule="auto"/>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Forța majoră</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Forța majoră și cazul fortuit trebuie dovedite.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02FE5" w:rsidRPr="00DC0B4E" w:rsidRDefault="00302FE5" w:rsidP="00DC0B4E">
      <w:pPr>
        <w:spacing w:before="120" w:after="120" w:line="276" w:lineRule="auto"/>
        <w:ind w:left="1"/>
        <w:jc w:val="both"/>
        <w:rPr>
          <w:rFonts w:ascii="Times New Roman" w:eastAsia="Calibri" w:hAnsi="Times New Roman" w:cs="Times New Roman"/>
          <w:sz w:val="24"/>
          <w:szCs w:val="24"/>
        </w:rPr>
      </w:pPr>
    </w:p>
    <w:p w:rsidR="00DC0B4E" w:rsidRPr="005A478C" w:rsidRDefault="00DC0B4E" w:rsidP="005A478C">
      <w:pPr>
        <w:pStyle w:val="ListParagraph"/>
        <w:numPr>
          <w:ilvl w:val="0"/>
          <w:numId w:val="57"/>
        </w:numPr>
        <w:spacing w:before="120" w:after="120" w:line="276" w:lineRule="auto"/>
        <w:jc w:val="both"/>
        <w:rPr>
          <w:rFonts w:ascii="Times New Roman" w:eastAsia="Calibri" w:hAnsi="Times New Roman" w:cs="Times New Roman"/>
          <w:sz w:val="24"/>
          <w:szCs w:val="24"/>
        </w:rPr>
      </w:pPr>
      <w:r w:rsidRPr="005A478C">
        <w:rPr>
          <w:rFonts w:ascii="Times New Roman" w:eastAsia="Calibri" w:hAnsi="Times New Roman" w:cs="Times New Roman"/>
          <w:sz w:val="24"/>
          <w:szCs w:val="24"/>
        </w:rPr>
        <w:t>Încetarea Contractului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subcontractează părți din Contract fără a avea acordul scris al Autorității/entității contractante;</w:t>
      </w:r>
    </w:p>
    <w:p w:rsidR="00DC0B4E" w:rsidRPr="00920412" w:rsidRDefault="00DC0B4E" w:rsidP="00920412">
      <w:pPr>
        <w:numPr>
          <w:ilvl w:val="0"/>
          <w:numId w:val="36"/>
        </w:numPr>
        <w:spacing w:before="120" w:after="120" w:line="276" w:lineRule="auto"/>
        <w:contextualSpacing/>
        <w:jc w:val="both"/>
        <w:rPr>
          <w:rFonts w:ascii="Times New Roman" w:eastAsia="Calibri" w:hAnsi="Times New Roman" w:cs="Times New Roman"/>
          <w:sz w:val="24"/>
          <w:szCs w:val="24"/>
        </w:rPr>
      </w:pPr>
      <w:r w:rsidRPr="00920412">
        <w:rPr>
          <w:rFonts w:ascii="Times New Roman" w:eastAsia="Calibri" w:hAnsi="Times New Roman" w:cs="Times New Roman"/>
          <w:sz w:val="24"/>
          <w:szCs w:val="24"/>
        </w:rPr>
        <w:t xml:space="preserve">Contractantul cesionează drepturile și obligațiile sale </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Devin incidente oricare alte incapacități legale care să împiedice executarea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eșuează în a furniza/menține/prelungi/reîntregi/completa garanțiile ori asigurările solicitate prin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împotriva Contractantului se deschide procedura falimentului;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rsidR="00DC0B4E" w:rsidRPr="00DC0B4E" w:rsidRDefault="00DC0B4E" w:rsidP="008A28F0">
      <w:pPr>
        <w:numPr>
          <w:ilvl w:val="0"/>
          <w:numId w:val="3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Valorificarea de către Autoritatea/entitatea contractantă a rezultatelor prezentului contract este grav compromisă ca urmare a întârzierii prestațiilor din vina Contractantului.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Rezoluțiunea/Rezilierea Contractului în condițiile pct. </w:t>
      </w:r>
      <w:r>
        <w:rPr>
          <w:rFonts w:ascii="Times New Roman" w:eastAsia="Calibri" w:hAnsi="Times New Roman" w:cs="Times New Roman"/>
          <w:sz w:val="24"/>
          <w:szCs w:val="24"/>
        </w:rPr>
        <w:t>20</w:t>
      </w:r>
      <w:r w:rsidR="005A478C" w:rsidRPr="005A478C">
        <w:rPr>
          <w:rFonts w:ascii="Times New Roman" w:eastAsia="Calibri" w:hAnsi="Times New Roman" w:cs="Times New Roman"/>
          <w:sz w:val="24"/>
          <w:szCs w:val="24"/>
        </w:rPr>
        <w:t>.2</w:t>
      </w:r>
      <w:r w:rsidR="00DC0B4E" w:rsidRPr="005A478C">
        <w:rPr>
          <w:rFonts w:ascii="Times New Roman" w:eastAsia="Calibri" w:hAnsi="Times New Roman" w:cs="Times New Roman"/>
          <w:sz w:val="24"/>
          <w:szCs w:val="24"/>
        </w:rPr>
        <w:t xml:space="preserve"> și pct. </w:t>
      </w:r>
      <w:r>
        <w:rPr>
          <w:rFonts w:ascii="Times New Roman" w:eastAsia="Calibri" w:hAnsi="Times New Roman" w:cs="Times New Roman"/>
          <w:sz w:val="24"/>
          <w:szCs w:val="24"/>
        </w:rPr>
        <w:t>20</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intervine cu efecte depline, fără a mai fi necesară îndeplinirea vreunei formalități prealabile și fără a mai fi necesară intervenția vreunei instanțe judecătorești.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.8.</w:t>
      </w:r>
      <w:r w:rsidR="00DC0B4E" w:rsidRPr="00DC0B4E">
        <w:rPr>
          <w:rFonts w:ascii="Times New Roman" w:eastAsia="Calibri"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BA40BA" w:rsidRDefault="00BA40BA" w:rsidP="005172A7">
      <w:pPr>
        <w:spacing w:before="120" w:after="120" w:line="276" w:lineRule="auto"/>
        <w:ind w:left="361"/>
        <w:jc w:val="both"/>
        <w:rPr>
          <w:rFonts w:ascii="Times New Roman" w:eastAsia="Calibri" w:hAnsi="Times New Roman" w:cs="Times New Roman"/>
          <w:sz w:val="24"/>
          <w:szCs w:val="24"/>
        </w:rPr>
      </w:pPr>
    </w:p>
    <w:p w:rsidR="00BA40BA" w:rsidRPr="00DC0B4E" w:rsidRDefault="00BA40BA"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Insolvență și faliment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În cazul deschiderii unei proceduri generale de insolvență împotriva unui Subcontractant, unui terț susținător sau, dacă este cazul, </w:t>
      </w:r>
      <w:r w:rsidR="000F5F8E">
        <w:rPr>
          <w:rFonts w:ascii="Times New Roman" w:eastAsia="Calibri" w:hAnsi="Times New Roman" w:cs="Times New Roman"/>
          <w:sz w:val="24"/>
          <w:szCs w:val="24"/>
        </w:rPr>
        <w:t>a asocierii</w:t>
      </w:r>
      <w:r w:rsidR="00DC0B4E" w:rsidRPr="00DC0B4E">
        <w:rPr>
          <w:rFonts w:ascii="Times New Roman" w:eastAsia="Calibri" w:hAnsi="Times New Roman" w:cs="Times New Roman"/>
          <w:sz w:val="24"/>
          <w:szCs w:val="24"/>
        </w:rPr>
        <w:t xml:space="preserve"> de operatori economici din prezentul Contract, Contractantul are aceleași obligații stabilite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.1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w:t>
      </w:r>
      <w:r w:rsidR="00DC0B4E" w:rsidRPr="00DC0B4E">
        <w:rPr>
          <w:rFonts w:ascii="Times New Roman" w:eastAsia="Calibri" w:hAnsi="Times New Roman" w:cs="Times New Roman"/>
          <w:sz w:val="24"/>
          <w:szCs w:val="24"/>
        </w:rPr>
        <w:t>din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.1,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din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 xml:space="preserve">Nicio astfel de măsură propusă conform celor stipulate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.3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.4 </w:t>
      </w:r>
      <w:r w:rsidR="00DC0B4E" w:rsidRPr="00DC0B4E">
        <w:rPr>
          <w:rFonts w:ascii="Times New Roman" w:eastAsia="Calibri" w:hAnsi="Times New Roman" w:cs="Times New Roman"/>
          <w:sz w:val="24"/>
          <w:szCs w:val="24"/>
        </w:rPr>
        <w:t>din prezentul Contract, nu poate fi aplicată, dacă nu este acceptată, în scris, de Autoritatea/entitatea contractantă.</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Limba Contractului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Limba prezentului Contract și a tuturor comunicărilor scrise va fi limba oficială a Statului Român, respectiv limba română.</w:t>
      </w:r>
    </w:p>
    <w:p w:rsidR="00674579" w:rsidRPr="00DC0B4E" w:rsidRDefault="00674579"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Legea aplicabilă</w:t>
      </w:r>
    </w:p>
    <w:p w:rsidR="00DC0B4E" w:rsidRDefault="00EB011B" w:rsidP="005A478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Legea aplicabilă prezentului Contract, este legea română, Contractul urmând a fi interpretat potrivit acestei legi.</w:t>
      </w:r>
    </w:p>
    <w:p w:rsidR="00DC1C97" w:rsidRDefault="00DC1C97" w:rsidP="005A478C">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Soluționarea eventualelor divergențe și a litigiilor</w:t>
      </w:r>
    </w:p>
    <w:p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Dacă încercarea de soluționare pe cale amiabilă eșuează sau dacă una dintre Părți nu răspunde în termen </w:t>
      </w:r>
      <w:r w:rsidR="000F5F8E">
        <w:rPr>
          <w:rFonts w:ascii="Times New Roman" w:eastAsia="Calibri" w:hAnsi="Times New Roman" w:cs="Times New Roman"/>
          <w:i/>
          <w:sz w:val="24"/>
          <w:szCs w:val="24"/>
        </w:rPr>
        <w:t>10 zile calendaristice</w:t>
      </w:r>
      <w:r w:rsidR="00DC0B4E" w:rsidRPr="00DC0B4E">
        <w:rPr>
          <w:rFonts w:ascii="Times New Roman" w:eastAsia="Calibri" w:hAnsi="Times New Roman" w:cs="Times New Roman"/>
          <w:sz w:val="24"/>
          <w:szCs w:val="24"/>
        </w:rPr>
        <w:t xml:space="preserve"> la solicitare, oricare din Părți are dreptul de a se adresa instanțelor de judecată competente.</w:t>
      </w:r>
    </w:p>
    <w:p w:rsidR="00BA40BA" w:rsidRDefault="00BA40BA" w:rsidP="005172A7">
      <w:pPr>
        <w:spacing w:before="120" w:after="120" w:line="276" w:lineRule="auto"/>
        <w:ind w:left="361"/>
        <w:jc w:val="both"/>
        <w:rPr>
          <w:rFonts w:ascii="Times New Roman" w:eastAsia="Calibri" w:hAnsi="Times New Roman" w:cs="Times New Roman"/>
          <w:sz w:val="24"/>
          <w:szCs w:val="24"/>
        </w:rPr>
      </w:pPr>
    </w:p>
    <w:p w:rsidR="00BA40BA" w:rsidRDefault="00BA40BA" w:rsidP="005172A7">
      <w:pPr>
        <w:spacing w:before="120" w:after="120" w:line="276" w:lineRule="auto"/>
        <w:ind w:left="361"/>
        <w:jc w:val="both"/>
        <w:rPr>
          <w:rFonts w:ascii="Times New Roman" w:eastAsia="Calibri" w:hAnsi="Times New Roman" w:cs="Times New Roman"/>
          <w:sz w:val="24"/>
          <w:szCs w:val="24"/>
        </w:rPr>
      </w:pPr>
    </w:p>
    <w:p w:rsidR="00BA40BA" w:rsidRPr="00DC0B4E" w:rsidRDefault="00BA40BA"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8017F7" w:rsidP="00DC0B4E">
      <w:pPr>
        <w:spacing w:before="120" w:after="120" w:line="276" w:lineRule="auto"/>
        <w:ind w:left="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DC0B4E" w:rsidRPr="00DC0B4E">
        <w:rPr>
          <w:rFonts w:ascii="Times New Roman" w:eastAsia="Calibri" w:hAnsi="Times New Roman" w:cs="Times New Roman"/>
          <w:sz w:val="24"/>
          <w:szCs w:val="24"/>
        </w:rPr>
        <w:t xml:space="preserve">Drept pentru care, Părțile au încheiat prezentul Contract, în </w:t>
      </w:r>
      <w:r w:rsidR="000F5F8E">
        <w:rPr>
          <w:rFonts w:ascii="Times New Roman" w:eastAsia="Calibri" w:hAnsi="Times New Roman" w:cs="Times New Roman"/>
          <w:i/>
          <w:sz w:val="24"/>
          <w:szCs w:val="24"/>
        </w:rPr>
        <w:t>3</w:t>
      </w:r>
      <w:r w:rsidR="00DC0B4E" w:rsidRPr="00DC0B4E">
        <w:rPr>
          <w:rFonts w:ascii="Times New Roman" w:eastAsia="Calibri" w:hAnsi="Times New Roman" w:cs="Times New Roman"/>
          <w:sz w:val="24"/>
          <w:szCs w:val="24"/>
        </w:rPr>
        <w:t xml:space="preserve"> (</w:t>
      </w:r>
      <w:r w:rsidR="000F5F8E">
        <w:rPr>
          <w:rFonts w:ascii="Times New Roman" w:eastAsia="Calibri" w:hAnsi="Times New Roman" w:cs="Times New Roman"/>
          <w:i/>
          <w:sz w:val="24"/>
          <w:szCs w:val="24"/>
        </w:rPr>
        <w:t>trei</w:t>
      </w:r>
      <w:r w:rsidR="00DC0B4E" w:rsidRPr="00DC0B4E">
        <w:rPr>
          <w:rFonts w:ascii="Times New Roman" w:eastAsia="Calibri" w:hAnsi="Times New Roman" w:cs="Times New Roman"/>
          <w:sz w:val="24"/>
          <w:szCs w:val="24"/>
        </w:rPr>
        <w:t>) exemplare.</w:t>
      </w:r>
    </w:p>
    <w:p w:rsidR="003D0666" w:rsidRPr="00162F5C" w:rsidRDefault="003D0666" w:rsidP="00BA40BA">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sz w:val="24"/>
          <w:szCs w:val="24"/>
        </w:rPr>
        <w:t xml:space="preserve">   </w:t>
      </w:r>
      <w:r w:rsidRPr="00162F5C">
        <w:rPr>
          <w:rFonts w:ascii="Times New Roman" w:eastAsia="Times New Roman" w:hAnsi="Times New Roman" w:cs="Times New Roman"/>
          <w:b/>
          <w:sz w:val="24"/>
          <w:szCs w:val="24"/>
        </w:rPr>
        <w:t>MUNICIPIUL ARAD</w:t>
      </w:r>
      <w:r w:rsidRPr="00162F5C">
        <w:rPr>
          <w:rFonts w:ascii="Times New Roman" w:eastAsia="Times New Roman" w:hAnsi="Times New Roman" w:cs="Times New Roman"/>
          <w:b/>
          <w:sz w:val="24"/>
          <w:szCs w:val="24"/>
        </w:rPr>
        <w:tab/>
      </w:r>
      <w:r w:rsidRPr="00162F5C">
        <w:rPr>
          <w:rFonts w:ascii="Times New Roman" w:eastAsia="Times New Roman" w:hAnsi="Times New Roman" w:cs="Times New Roman"/>
          <w:b/>
          <w:sz w:val="24"/>
          <w:szCs w:val="24"/>
        </w:rPr>
        <w:tab/>
        <w:t xml:space="preserve">                        </w:t>
      </w:r>
      <w:r w:rsidR="00BA40BA">
        <w:rPr>
          <w:rFonts w:ascii="Times New Roman" w:eastAsia="Times New Roman" w:hAnsi="Times New Roman" w:cs="Times New Roman"/>
          <w:b/>
          <w:sz w:val="24"/>
          <w:szCs w:val="24"/>
        </w:rPr>
        <w:t xml:space="preserve">       </w:t>
      </w:r>
      <w:r w:rsidRPr="00162F5C">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lang w:val="en-US"/>
        </w:rPr>
        <w:t xml:space="preserve">             FURNIZOR</w:t>
      </w:r>
    </w:p>
    <w:p w:rsidR="003D0666" w:rsidRPr="00EB011B" w:rsidRDefault="003D0666" w:rsidP="00BA40BA">
      <w:pPr>
        <w:autoSpaceDE w:val="0"/>
        <w:autoSpaceDN w:val="0"/>
        <w:adjustRightInd w:val="0"/>
        <w:spacing w:after="0" w:line="240" w:lineRule="auto"/>
        <w:rPr>
          <w:rFonts w:ascii="Times New Roman" w:eastAsia="Calibri" w:hAnsi="Times New Roman" w:cs="Times New Roman"/>
          <w:sz w:val="24"/>
          <w:szCs w:val="24"/>
        </w:rPr>
      </w:pPr>
      <w:r w:rsidRPr="00162F5C">
        <w:rPr>
          <w:rFonts w:ascii="Times New Roman" w:eastAsia="Times New Roman" w:hAnsi="Times New Roman" w:cs="Times New Roman"/>
          <w:b/>
          <w:sz w:val="20"/>
          <w:szCs w:val="20"/>
        </w:rPr>
        <w:t xml:space="preserve">    </w:t>
      </w:r>
      <w:r w:rsidRPr="00EB011B">
        <w:rPr>
          <w:rFonts w:ascii="Times New Roman" w:eastAsia="Calibri" w:hAnsi="Times New Roman" w:cs="Times New Roman"/>
          <w:sz w:val="24"/>
          <w:szCs w:val="24"/>
        </w:rPr>
        <w:t xml:space="preserve">         PRIMAR </w:t>
      </w:r>
      <w:r w:rsidRPr="00EB011B">
        <w:rPr>
          <w:rFonts w:ascii="Times New Roman" w:eastAsia="Calibri" w:hAnsi="Times New Roman" w:cs="Times New Roman"/>
          <w:sz w:val="24"/>
          <w:szCs w:val="24"/>
        </w:rPr>
        <w:tab/>
      </w:r>
      <w:r w:rsidRPr="00EB011B">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00BA40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B011B">
        <w:rPr>
          <w:rFonts w:ascii="Times New Roman" w:eastAsia="Calibri" w:hAnsi="Times New Roman" w:cs="Times New Roman"/>
          <w:sz w:val="24"/>
          <w:szCs w:val="24"/>
        </w:rPr>
        <w:t xml:space="preserve"> </w:t>
      </w:r>
      <w:r>
        <w:rPr>
          <w:rFonts w:ascii="Times New Roman" w:eastAsia="Calibri" w:hAnsi="Times New Roman" w:cs="Times New Roman"/>
          <w:sz w:val="24"/>
          <w:szCs w:val="24"/>
        </w:rPr>
        <w:t>SC DOLEX COM SRL</w:t>
      </w:r>
      <w:r w:rsidRPr="00EB011B">
        <w:rPr>
          <w:rFonts w:ascii="Times New Roman" w:eastAsia="Calibri" w:hAnsi="Times New Roman" w:cs="Times New Roman"/>
          <w:sz w:val="24"/>
          <w:szCs w:val="24"/>
        </w:rPr>
        <w:t xml:space="preserve">                      </w:t>
      </w:r>
    </w:p>
    <w:p w:rsidR="00302FE5" w:rsidRDefault="00302FE5" w:rsidP="00BA40BA">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62F5C" w:rsidRDefault="00162F5C" w:rsidP="00BA40BA">
      <w:pPr>
        <w:spacing w:before="120" w:after="120" w:line="276" w:lineRule="auto"/>
        <w:ind w:left="1"/>
        <w:rPr>
          <w:rFonts w:ascii="Times New Roman" w:eastAsia="Calibri" w:hAnsi="Times New Roman" w:cs="Times New Roman"/>
          <w:sz w:val="24"/>
          <w:szCs w:val="24"/>
        </w:rPr>
      </w:pPr>
    </w:p>
    <w:sectPr w:rsidR="00162F5C" w:rsidSect="00BA40BA">
      <w:footerReference w:type="default" r:id="rId8"/>
      <w:pgSz w:w="11906" w:h="16838"/>
      <w:pgMar w:top="993" w:right="991" w:bottom="270" w:left="993" w:header="708" w:footer="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4B" w:rsidRDefault="001E7B4B" w:rsidP="00B75FFB">
      <w:pPr>
        <w:spacing w:after="0" w:line="240" w:lineRule="auto"/>
      </w:pPr>
      <w:r>
        <w:separator/>
      </w:r>
    </w:p>
  </w:endnote>
  <w:endnote w:type="continuationSeparator" w:id="0">
    <w:p w:rsidR="001E7B4B" w:rsidRDefault="001E7B4B" w:rsidP="00B75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30813"/>
      <w:docPartObj>
        <w:docPartGallery w:val="Page Numbers (Bottom of Page)"/>
        <w:docPartUnique/>
      </w:docPartObj>
    </w:sdtPr>
    <w:sdtContent>
      <w:p w:rsidR="00143B94" w:rsidRDefault="00143B94">
        <w:pPr>
          <w:pStyle w:val="Footer"/>
          <w:jc w:val="right"/>
        </w:pPr>
        <w:fldSimple w:instr=" PAGE   \* MERGEFORMAT ">
          <w:r w:rsidR="00A26705">
            <w:rPr>
              <w:noProof/>
            </w:rPr>
            <w:t>14</w:t>
          </w:r>
        </w:fldSimple>
      </w:p>
    </w:sdtContent>
  </w:sdt>
  <w:p w:rsidR="00143B94" w:rsidRDefault="00143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4B" w:rsidRDefault="001E7B4B" w:rsidP="00B75FFB">
      <w:pPr>
        <w:spacing w:after="0" w:line="240" w:lineRule="auto"/>
      </w:pPr>
      <w:r>
        <w:separator/>
      </w:r>
    </w:p>
  </w:footnote>
  <w:footnote w:type="continuationSeparator" w:id="0">
    <w:p w:rsidR="001E7B4B" w:rsidRDefault="001E7B4B" w:rsidP="00B75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5FE7197"/>
    <w:multiLevelType w:val="hybridMultilevel"/>
    <w:tmpl w:val="E26E2A1C"/>
    <w:lvl w:ilvl="0" w:tplc="CA3CFE6A">
      <w:start w:val="16"/>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0811F9D"/>
    <w:multiLevelType w:val="multilevel"/>
    <w:tmpl w:val="FA9835F4"/>
    <w:lvl w:ilvl="0">
      <w:start w:val="5"/>
      <w:numFmt w:val="decimal"/>
      <w:lvlText w:val="%1"/>
      <w:lvlJc w:val="left"/>
      <w:pPr>
        <w:ind w:left="360" w:hanging="360"/>
      </w:pPr>
      <w:rPr>
        <w:rFonts w:hint="default"/>
      </w:rPr>
    </w:lvl>
    <w:lvl w:ilvl="1">
      <w:start w:val="3"/>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2937665E"/>
    <w:multiLevelType w:val="multilevel"/>
    <w:tmpl w:val="B7E434B2"/>
    <w:lvl w:ilvl="0">
      <w:start w:val="15"/>
      <w:numFmt w:val="decimal"/>
      <w:lvlText w:val="%1"/>
      <w:lvlJc w:val="left"/>
      <w:pPr>
        <w:ind w:left="721" w:hanging="360"/>
      </w:pPr>
      <w:rPr>
        <w:rFonts w:hint="default"/>
      </w:rPr>
    </w:lvl>
    <w:lvl w:ilvl="1">
      <w:start w:val="5"/>
      <w:numFmt w:val="decimal"/>
      <w:isLgl/>
      <w:lvlText w:val="%1.%2."/>
      <w:lvlJc w:val="left"/>
      <w:pPr>
        <w:ind w:left="841" w:hanging="48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6">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FC35620"/>
    <w:multiLevelType w:val="hybridMultilevel"/>
    <w:tmpl w:val="864C9A38"/>
    <w:lvl w:ilvl="0" w:tplc="8FBA7D6E">
      <w:start w:val="14"/>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759F236C"/>
    <w:multiLevelType w:val="hybridMultilevel"/>
    <w:tmpl w:val="647EC376"/>
    <w:lvl w:ilvl="0" w:tplc="34FC347E">
      <w:start w:val="1"/>
      <w:numFmt w:val="decimal"/>
      <w:lvlText w:val="%1)"/>
      <w:lvlJc w:val="left"/>
      <w:pPr>
        <w:ind w:left="721" w:hanging="360"/>
      </w:pPr>
      <w:rPr>
        <w:rFonts w:ascii="Times New Roman" w:eastAsia="Calibr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5"/>
  </w:num>
  <w:num w:numId="2">
    <w:abstractNumId w:val="43"/>
  </w:num>
  <w:num w:numId="3">
    <w:abstractNumId w:val="4"/>
  </w:num>
  <w:num w:numId="4">
    <w:abstractNumId w:val="30"/>
  </w:num>
  <w:num w:numId="5">
    <w:abstractNumId w:val="31"/>
  </w:num>
  <w:num w:numId="6">
    <w:abstractNumId w:val="54"/>
  </w:num>
  <w:num w:numId="7">
    <w:abstractNumId w:val="7"/>
  </w:num>
  <w:num w:numId="8">
    <w:abstractNumId w:val="3"/>
  </w:num>
  <w:num w:numId="9">
    <w:abstractNumId w:val="40"/>
  </w:num>
  <w:num w:numId="10">
    <w:abstractNumId w:val="55"/>
  </w:num>
  <w:num w:numId="11">
    <w:abstractNumId w:val="22"/>
  </w:num>
  <w:num w:numId="12">
    <w:abstractNumId w:val="39"/>
  </w:num>
  <w:num w:numId="13">
    <w:abstractNumId w:val="50"/>
  </w:num>
  <w:num w:numId="14">
    <w:abstractNumId w:val="52"/>
  </w:num>
  <w:num w:numId="15">
    <w:abstractNumId w:val="21"/>
  </w:num>
  <w:num w:numId="16">
    <w:abstractNumId w:val="26"/>
  </w:num>
  <w:num w:numId="17">
    <w:abstractNumId w:val="18"/>
  </w:num>
  <w:num w:numId="18">
    <w:abstractNumId w:val="27"/>
  </w:num>
  <w:num w:numId="19">
    <w:abstractNumId w:val="34"/>
  </w:num>
  <w:num w:numId="20">
    <w:abstractNumId w:val="48"/>
  </w:num>
  <w:num w:numId="21">
    <w:abstractNumId w:val="49"/>
  </w:num>
  <w:num w:numId="22">
    <w:abstractNumId w:val="46"/>
  </w:num>
  <w:num w:numId="23">
    <w:abstractNumId w:val="23"/>
  </w:num>
  <w:num w:numId="24">
    <w:abstractNumId w:val="6"/>
  </w:num>
  <w:num w:numId="25">
    <w:abstractNumId w:val="44"/>
  </w:num>
  <w:num w:numId="26">
    <w:abstractNumId w:val="2"/>
  </w:num>
  <w:num w:numId="27">
    <w:abstractNumId w:val="51"/>
  </w:num>
  <w:num w:numId="28">
    <w:abstractNumId w:val="16"/>
  </w:num>
  <w:num w:numId="29">
    <w:abstractNumId w:val="19"/>
  </w:num>
  <w:num w:numId="30">
    <w:abstractNumId w:val="36"/>
  </w:num>
  <w:num w:numId="31">
    <w:abstractNumId w:val="20"/>
  </w:num>
  <w:num w:numId="32">
    <w:abstractNumId w:val="37"/>
  </w:num>
  <w:num w:numId="33">
    <w:abstractNumId w:val="25"/>
  </w:num>
  <w:num w:numId="34">
    <w:abstractNumId w:val="15"/>
  </w:num>
  <w:num w:numId="35">
    <w:abstractNumId w:val="56"/>
  </w:num>
  <w:num w:numId="36">
    <w:abstractNumId w:val="42"/>
  </w:num>
  <w:num w:numId="37">
    <w:abstractNumId w:val="28"/>
  </w:num>
  <w:num w:numId="38">
    <w:abstractNumId w:val="10"/>
  </w:num>
  <w:num w:numId="39">
    <w:abstractNumId w:val="57"/>
  </w:num>
  <w:num w:numId="40">
    <w:abstractNumId w:val="17"/>
  </w:num>
  <w:num w:numId="41">
    <w:abstractNumId w:val="0"/>
  </w:num>
  <w:num w:numId="42">
    <w:abstractNumId w:val="47"/>
  </w:num>
  <w:num w:numId="43">
    <w:abstractNumId w:val="5"/>
  </w:num>
  <w:num w:numId="44">
    <w:abstractNumId w:val="41"/>
  </w:num>
  <w:num w:numId="45">
    <w:abstractNumId w:val="8"/>
  </w:num>
  <w:num w:numId="46">
    <w:abstractNumId w:val="12"/>
  </w:num>
  <w:num w:numId="47">
    <w:abstractNumId w:val="1"/>
  </w:num>
  <w:num w:numId="48">
    <w:abstractNumId w:val="32"/>
  </w:num>
  <w:num w:numId="49">
    <w:abstractNumId w:val="33"/>
  </w:num>
  <w:num w:numId="50">
    <w:abstractNumId w:val="38"/>
  </w:num>
  <w:num w:numId="51">
    <w:abstractNumId w:val="24"/>
  </w:num>
  <w:num w:numId="52">
    <w:abstractNumId w:val="13"/>
  </w:num>
  <w:num w:numId="53">
    <w:abstractNumId w:val="11"/>
  </w:num>
  <w:num w:numId="54">
    <w:abstractNumId w:val="9"/>
  </w:num>
  <w:num w:numId="55">
    <w:abstractNumId w:val="14"/>
  </w:num>
  <w:num w:numId="56">
    <w:abstractNumId w:val="53"/>
  </w:num>
  <w:num w:numId="57">
    <w:abstractNumId w:val="45"/>
  </w:num>
  <w:num w:numId="58">
    <w:abstractNumId w:val="2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4818"/>
  </w:hdrShapeDefaults>
  <w:footnotePr>
    <w:footnote w:id="-1"/>
    <w:footnote w:id="0"/>
  </w:footnotePr>
  <w:endnotePr>
    <w:endnote w:id="-1"/>
    <w:endnote w:id="0"/>
  </w:endnotePr>
  <w:compat/>
  <w:rsids>
    <w:rsidRoot w:val="00DC0B4E"/>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89D"/>
    <w:rsid w:val="0000738B"/>
    <w:rsid w:val="00007940"/>
    <w:rsid w:val="00010491"/>
    <w:rsid w:val="00010608"/>
    <w:rsid w:val="0001161A"/>
    <w:rsid w:val="00012720"/>
    <w:rsid w:val="000135CF"/>
    <w:rsid w:val="0001379B"/>
    <w:rsid w:val="00014A19"/>
    <w:rsid w:val="00014DFF"/>
    <w:rsid w:val="00016609"/>
    <w:rsid w:val="0001669F"/>
    <w:rsid w:val="00016FC9"/>
    <w:rsid w:val="000174A0"/>
    <w:rsid w:val="00017CB0"/>
    <w:rsid w:val="00017F02"/>
    <w:rsid w:val="0002043F"/>
    <w:rsid w:val="000212C3"/>
    <w:rsid w:val="00021424"/>
    <w:rsid w:val="0002221C"/>
    <w:rsid w:val="0002296B"/>
    <w:rsid w:val="00022BBF"/>
    <w:rsid w:val="00022D6A"/>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2AC"/>
    <w:rsid w:val="00053614"/>
    <w:rsid w:val="000536ED"/>
    <w:rsid w:val="00053A93"/>
    <w:rsid w:val="00053BBE"/>
    <w:rsid w:val="00053CE8"/>
    <w:rsid w:val="00053D10"/>
    <w:rsid w:val="00053FCF"/>
    <w:rsid w:val="00054C29"/>
    <w:rsid w:val="0005616D"/>
    <w:rsid w:val="000561DB"/>
    <w:rsid w:val="00056719"/>
    <w:rsid w:val="00056F8A"/>
    <w:rsid w:val="000571D4"/>
    <w:rsid w:val="000602CC"/>
    <w:rsid w:val="00061B88"/>
    <w:rsid w:val="00063D86"/>
    <w:rsid w:val="00063D99"/>
    <w:rsid w:val="00064247"/>
    <w:rsid w:val="00064326"/>
    <w:rsid w:val="000644B7"/>
    <w:rsid w:val="0006453B"/>
    <w:rsid w:val="00064FDA"/>
    <w:rsid w:val="00065B60"/>
    <w:rsid w:val="00066362"/>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EA7"/>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2B8"/>
    <w:rsid w:val="000A6EBB"/>
    <w:rsid w:val="000A70A6"/>
    <w:rsid w:val="000A716A"/>
    <w:rsid w:val="000B00F9"/>
    <w:rsid w:val="000B0241"/>
    <w:rsid w:val="000B1066"/>
    <w:rsid w:val="000B1183"/>
    <w:rsid w:val="000B1BE2"/>
    <w:rsid w:val="000B2832"/>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34AA"/>
    <w:rsid w:val="000C3B19"/>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4251"/>
    <w:rsid w:val="000F4392"/>
    <w:rsid w:val="000F4976"/>
    <w:rsid w:val="000F54D7"/>
    <w:rsid w:val="000F56DB"/>
    <w:rsid w:val="000F5F8E"/>
    <w:rsid w:val="000F6191"/>
    <w:rsid w:val="000F6324"/>
    <w:rsid w:val="000F6F7A"/>
    <w:rsid w:val="000F78DB"/>
    <w:rsid w:val="00101315"/>
    <w:rsid w:val="0010205C"/>
    <w:rsid w:val="001021A8"/>
    <w:rsid w:val="00102ABF"/>
    <w:rsid w:val="00103C43"/>
    <w:rsid w:val="00103C50"/>
    <w:rsid w:val="00104233"/>
    <w:rsid w:val="00104DC3"/>
    <w:rsid w:val="00104EDC"/>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1C"/>
    <w:rsid w:val="001205A6"/>
    <w:rsid w:val="001208DC"/>
    <w:rsid w:val="001210BE"/>
    <w:rsid w:val="001222BD"/>
    <w:rsid w:val="00122547"/>
    <w:rsid w:val="0012260F"/>
    <w:rsid w:val="00124602"/>
    <w:rsid w:val="0012463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1951"/>
    <w:rsid w:val="00141BDE"/>
    <w:rsid w:val="00142A95"/>
    <w:rsid w:val="00142F0D"/>
    <w:rsid w:val="001430F9"/>
    <w:rsid w:val="001432A0"/>
    <w:rsid w:val="0014336F"/>
    <w:rsid w:val="0014338A"/>
    <w:rsid w:val="00143B94"/>
    <w:rsid w:val="00143F22"/>
    <w:rsid w:val="00145444"/>
    <w:rsid w:val="00145554"/>
    <w:rsid w:val="00145D86"/>
    <w:rsid w:val="001463C6"/>
    <w:rsid w:val="00146EBF"/>
    <w:rsid w:val="0014729E"/>
    <w:rsid w:val="0014777C"/>
    <w:rsid w:val="00147B7A"/>
    <w:rsid w:val="00150137"/>
    <w:rsid w:val="00150C3C"/>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EAE"/>
    <w:rsid w:val="00161F07"/>
    <w:rsid w:val="001626B0"/>
    <w:rsid w:val="00162F5C"/>
    <w:rsid w:val="001641A5"/>
    <w:rsid w:val="001662DA"/>
    <w:rsid w:val="001669C0"/>
    <w:rsid w:val="00167FF5"/>
    <w:rsid w:val="00171292"/>
    <w:rsid w:val="001712D3"/>
    <w:rsid w:val="00171C10"/>
    <w:rsid w:val="001720ED"/>
    <w:rsid w:val="001725AB"/>
    <w:rsid w:val="0017273A"/>
    <w:rsid w:val="00173868"/>
    <w:rsid w:val="001748CA"/>
    <w:rsid w:val="0017532B"/>
    <w:rsid w:val="001754B4"/>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90633"/>
    <w:rsid w:val="00190AC0"/>
    <w:rsid w:val="0019192D"/>
    <w:rsid w:val="0019234E"/>
    <w:rsid w:val="00192B6C"/>
    <w:rsid w:val="00192DE3"/>
    <w:rsid w:val="001944B5"/>
    <w:rsid w:val="00195646"/>
    <w:rsid w:val="00196E6D"/>
    <w:rsid w:val="001A0620"/>
    <w:rsid w:val="001A075C"/>
    <w:rsid w:val="001A0ABF"/>
    <w:rsid w:val="001A1106"/>
    <w:rsid w:val="001A12CF"/>
    <w:rsid w:val="001A1C65"/>
    <w:rsid w:val="001A1FE2"/>
    <w:rsid w:val="001A20F4"/>
    <w:rsid w:val="001A26AF"/>
    <w:rsid w:val="001A30A9"/>
    <w:rsid w:val="001A387C"/>
    <w:rsid w:val="001A400A"/>
    <w:rsid w:val="001A48BD"/>
    <w:rsid w:val="001A4C82"/>
    <w:rsid w:val="001A5238"/>
    <w:rsid w:val="001A58E5"/>
    <w:rsid w:val="001A62DF"/>
    <w:rsid w:val="001A72CE"/>
    <w:rsid w:val="001A7CD7"/>
    <w:rsid w:val="001B0480"/>
    <w:rsid w:val="001B0499"/>
    <w:rsid w:val="001B087E"/>
    <w:rsid w:val="001B12CF"/>
    <w:rsid w:val="001B3204"/>
    <w:rsid w:val="001B352A"/>
    <w:rsid w:val="001B3591"/>
    <w:rsid w:val="001B3F39"/>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3E"/>
    <w:rsid w:val="001C6C58"/>
    <w:rsid w:val="001C709C"/>
    <w:rsid w:val="001C7A78"/>
    <w:rsid w:val="001D0277"/>
    <w:rsid w:val="001D07B7"/>
    <w:rsid w:val="001D08CE"/>
    <w:rsid w:val="001D0B34"/>
    <w:rsid w:val="001D0C2F"/>
    <w:rsid w:val="001D0F57"/>
    <w:rsid w:val="001D0FC1"/>
    <w:rsid w:val="001D1188"/>
    <w:rsid w:val="001D1A32"/>
    <w:rsid w:val="001D1ACD"/>
    <w:rsid w:val="001D3229"/>
    <w:rsid w:val="001D32BF"/>
    <w:rsid w:val="001D4E13"/>
    <w:rsid w:val="001D59B5"/>
    <w:rsid w:val="001D623B"/>
    <w:rsid w:val="001D6D67"/>
    <w:rsid w:val="001D72B6"/>
    <w:rsid w:val="001D7B0E"/>
    <w:rsid w:val="001E0695"/>
    <w:rsid w:val="001E09D7"/>
    <w:rsid w:val="001E1163"/>
    <w:rsid w:val="001E2CEA"/>
    <w:rsid w:val="001E2FA1"/>
    <w:rsid w:val="001E385F"/>
    <w:rsid w:val="001E3964"/>
    <w:rsid w:val="001E3AC0"/>
    <w:rsid w:val="001E425C"/>
    <w:rsid w:val="001E430C"/>
    <w:rsid w:val="001E432C"/>
    <w:rsid w:val="001E512D"/>
    <w:rsid w:val="001E6AF6"/>
    <w:rsid w:val="001E6B99"/>
    <w:rsid w:val="001E7AE3"/>
    <w:rsid w:val="001E7B4B"/>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501F"/>
    <w:rsid w:val="002150B2"/>
    <w:rsid w:val="002150D1"/>
    <w:rsid w:val="00215200"/>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7AC"/>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9D7"/>
    <w:rsid w:val="002539D9"/>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7AD6"/>
    <w:rsid w:val="00277D8A"/>
    <w:rsid w:val="00281004"/>
    <w:rsid w:val="00281A59"/>
    <w:rsid w:val="00281BDC"/>
    <w:rsid w:val="00282D20"/>
    <w:rsid w:val="00282D23"/>
    <w:rsid w:val="00282E5E"/>
    <w:rsid w:val="00283332"/>
    <w:rsid w:val="00283B7F"/>
    <w:rsid w:val="00283E01"/>
    <w:rsid w:val="00283E85"/>
    <w:rsid w:val="0028420D"/>
    <w:rsid w:val="0028460C"/>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4377"/>
    <w:rsid w:val="002A43C2"/>
    <w:rsid w:val="002A4628"/>
    <w:rsid w:val="002A4BF9"/>
    <w:rsid w:val="002A4F74"/>
    <w:rsid w:val="002A506A"/>
    <w:rsid w:val="002A6DED"/>
    <w:rsid w:val="002A6E7B"/>
    <w:rsid w:val="002A6FE3"/>
    <w:rsid w:val="002A70DB"/>
    <w:rsid w:val="002A77FC"/>
    <w:rsid w:val="002A7BD2"/>
    <w:rsid w:val="002A7C7C"/>
    <w:rsid w:val="002A7D3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F2"/>
    <w:rsid w:val="002B731A"/>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133"/>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86"/>
    <w:rsid w:val="00302853"/>
    <w:rsid w:val="00302BDA"/>
    <w:rsid w:val="00302D59"/>
    <w:rsid w:val="00302FE5"/>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5245"/>
    <w:rsid w:val="00325DEE"/>
    <w:rsid w:val="0032629B"/>
    <w:rsid w:val="00326A6A"/>
    <w:rsid w:val="00326BA7"/>
    <w:rsid w:val="00326ED3"/>
    <w:rsid w:val="0032789D"/>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83F"/>
    <w:rsid w:val="00351FC1"/>
    <w:rsid w:val="00352A2B"/>
    <w:rsid w:val="00352B2A"/>
    <w:rsid w:val="003535B9"/>
    <w:rsid w:val="00353F8E"/>
    <w:rsid w:val="00354225"/>
    <w:rsid w:val="003549A8"/>
    <w:rsid w:val="00355176"/>
    <w:rsid w:val="00355FB0"/>
    <w:rsid w:val="003561A8"/>
    <w:rsid w:val="0035628F"/>
    <w:rsid w:val="00357F83"/>
    <w:rsid w:val="003600C9"/>
    <w:rsid w:val="00360654"/>
    <w:rsid w:val="00360837"/>
    <w:rsid w:val="00361585"/>
    <w:rsid w:val="0036201B"/>
    <w:rsid w:val="00362736"/>
    <w:rsid w:val="003628B4"/>
    <w:rsid w:val="003642DF"/>
    <w:rsid w:val="00364324"/>
    <w:rsid w:val="0036438D"/>
    <w:rsid w:val="00364A26"/>
    <w:rsid w:val="00364B6C"/>
    <w:rsid w:val="00364B93"/>
    <w:rsid w:val="00364DA6"/>
    <w:rsid w:val="00365E4A"/>
    <w:rsid w:val="003668D1"/>
    <w:rsid w:val="00367590"/>
    <w:rsid w:val="00370018"/>
    <w:rsid w:val="003707E8"/>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4E89"/>
    <w:rsid w:val="003B5A99"/>
    <w:rsid w:val="003B66E6"/>
    <w:rsid w:val="003B75F1"/>
    <w:rsid w:val="003B7648"/>
    <w:rsid w:val="003B766E"/>
    <w:rsid w:val="003B7AAA"/>
    <w:rsid w:val="003B7BDF"/>
    <w:rsid w:val="003C0140"/>
    <w:rsid w:val="003C10F9"/>
    <w:rsid w:val="003C194F"/>
    <w:rsid w:val="003C23C6"/>
    <w:rsid w:val="003C2E00"/>
    <w:rsid w:val="003C3C55"/>
    <w:rsid w:val="003C4009"/>
    <w:rsid w:val="003C46D8"/>
    <w:rsid w:val="003C4832"/>
    <w:rsid w:val="003C5A18"/>
    <w:rsid w:val="003C63D0"/>
    <w:rsid w:val="003D0666"/>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17A1"/>
    <w:rsid w:val="003F1B5A"/>
    <w:rsid w:val="003F2BB9"/>
    <w:rsid w:val="003F2BC3"/>
    <w:rsid w:val="003F3093"/>
    <w:rsid w:val="003F349C"/>
    <w:rsid w:val="003F44F5"/>
    <w:rsid w:val="003F4519"/>
    <w:rsid w:val="003F4816"/>
    <w:rsid w:val="003F4BAD"/>
    <w:rsid w:val="003F4F0E"/>
    <w:rsid w:val="003F4F23"/>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D59"/>
    <w:rsid w:val="004512DA"/>
    <w:rsid w:val="00452577"/>
    <w:rsid w:val="00452D58"/>
    <w:rsid w:val="00452EDA"/>
    <w:rsid w:val="00452FA7"/>
    <w:rsid w:val="00453708"/>
    <w:rsid w:val="004540A2"/>
    <w:rsid w:val="004551AB"/>
    <w:rsid w:val="0045564D"/>
    <w:rsid w:val="00455D61"/>
    <w:rsid w:val="00455EDD"/>
    <w:rsid w:val="00455EE8"/>
    <w:rsid w:val="004565ED"/>
    <w:rsid w:val="0045689A"/>
    <w:rsid w:val="00456E98"/>
    <w:rsid w:val="00457582"/>
    <w:rsid w:val="004605A9"/>
    <w:rsid w:val="004605F0"/>
    <w:rsid w:val="004609A3"/>
    <w:rsid w:val="00460E41"/>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347"/>
    <w:rsid w:val="00472DFB"/>
    <w:rsid w:val="004730C8"/>
    <w:rsid w:val="0047330F"/>
    <w:rsid w:val="004733C7"/>
    <w:rsid w:val="004734C1"/>
    <w:rsid w:val="00473741"/>
    <w:rsid w:val="00473A3F"/>
    <w:rsid w:val="00474420"/>
    <w:rsid w:val="004746FC"/>
    <w:rsid w:val="00474F17"/>
    <w:rsid w:val="004750D6"/>
    <w:rsid w:val="00475108"/>
    <w:rsid w:val="00476309"/>
    <w:rsid w:val="004764AD"/>
    <w:rsid w:val="00476D27"/>
    <w:rsid w:val="004772E2"/>
    <w:rsid w:val="00477771"/>
    <w:rsid w:val="0048009F"/>
    <w:rsid w:val="00480457"/>
    <w:rsid w:val="00480E61"/>
    <w:rsid w:val="00480F7D"/>
    <w:rsid w:val="00481482"/>
    <w:rsid w:val="0048149F"/>
    <w:rsid w:val="004814F4"/>
    <w:rsid w:val="004817AE"/>
    <w:rsid w:val="00482AF3"/>
    <w:rsid w:val="00482B18"/>
    <w:rsid w:val="00482F3F"/>
    <w:rsid w:val="00482F7D"/>
    <w:rsid w:val="004832F9"/>
    <w:rsid w:val="00483A26"/>
    <w:rsid w:val="004845B6"/>
    <w:rsid w:val="00484EFB"/>
    <w:rsid w:val="0048522F"/>
    <w:rsid w:val="00486D51"/>
    <w:rsid w:val="00487253"/>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2237"/>
    <w:rsid w:val="004E23AF"/>
    <w:rsid w:val="004E29AD"/>
    <w:rsid w:val="004E3487"/>
    <w:rsid w:val="004E39B1"/>
    <w:rsid w:val="004E3A8C"/>
    <w:rsid w:val="004E3F5A"/>
    <w:rsid w:val="004E3F9D"/>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2A7"/>
    <w:rsid w:val="0051787F"/>
    <w:rsid w:val="005201CE"/>
    <w:rsid w:val="00521648"/>
    <w:rsid w:val="00523C00"/>
    <w:rsid w:val="00523F6E"/>
    <w:rsid w:val="0052400A"/>
    <w:rsid w:val="005246E4"/>
    <w:rsid w:val="00525B65"/>
    <w:rsid w:val="0052687B"/>
    <w:rsid w:val="00526B98"/>
    <w:rsid w:val="00527A5F"/>
    <w:rsid w:val="0053042E"/>
    <w:rsid w:val="00530E5D"/>
    <w:rsid w:val="005310EB"/>
    <w:rsid w:val="0053191C"/>
    <w:rsid w:val="00531B07"/>
    <w:rsid w:val="0053259F"/>
    <w:rsid w:val="00532929"/>
    <w:rsid w:val="00532B3B"/>
    <w:rsid w:val="0053308C"/>
    <w:rsid w:val="00533539"/>
    <w:rsid w:val="0053512A"/>
    <w:rsid w:val="005358D3"/>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7A75"/>
    <w:rsid w:val="00567D49"/>
    <w:rsid w:val="0057199E"/>
    <w:rsid w:val="005719B0"/>
    <w:rsid w:val="00572146"/>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67"/>
    <w:rsid w:val="00586747"/>
    <w:rsid w:val="00586F4D"/>
    <w:rsid w:val="00587538"/>
    <w:rsid w:val="005877B2"/>
    <w:rsid w:val="00587D81"/>
    <w:rsid w:val="0059007A"/>
    <w:rsid w:val="00590662"/>
    <w:rsid w:val="00590D91"/>
    <w:rsid w:val="005911ED"/>
    <w:rsid w:val="0059136F"/>
    <w:rsid w:val="005913FC"/>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478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845"/>
    <w:rsid w:val="005E0D98"/>
    <w:rsid w:val="005E1185"/>
    <w:rsid w:val="005E1488"/>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C3"/>
    <w:rsid w:val="005F3213"/>
    <w:rsid w:val="005F3BF1"/>
    <w:rsid w:val="005F3CA3"/>
    <w:rsid w:val="005F53B0"/>
    <w:rsid w:val="005F5C3E"/>
    <w:rsid w:val="005F61A7"/>
    <w:rsid w:val="005F6718"/>
    <w:rsid w:val="005F6AE4"/>
    <w:rsid w:val="005F6F29"/>
    <w:rsid w:val="005F712B"/>
    <w:rsid w:val="005F71BF"/>
    <w:rsid w:val="005F7540"/>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30BA7"/>
    <w:rsid w:val="00630EFB"/>
    <w:rsid w:val="00631037"/>
    <w:rsid w:val="00631F75"/>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54CA"/>
    <w:rsid w:val="00645BB9"/>
    <w:rsid w:val="0064677D"/>
    <w:rsid w:val="006469F5"/>
    <w:rsid w:val="00646ED5"/>
    <w:rsid w:val="00646F9F"/>
    <w:rsid w:val="00647AB7"/>
    <w:rsid w:val="006511A2"/>
    <w:rsid w:val="00652ACF"/>
    <w:rsid w:val="00652C0C"/>
    <w:rsid w:val="0065365C"/>
    <w:rsid w:val="00653786"/>
    <w:rsid w:val="00654DBC"/>
    <w:rsid w:val="00655011"/>
    <w:rsid w:val="00656304"/>
    <w:rsid w:val="00656806"/>
    <w:rsid w:val="00656ECF"/>
    <w:rsid w:val="00657A8C"/>
    <w:rsid w:val="00660523"/>
    <w:rsid w:val="00660B83"/>
    <w:rsid w:val="0066303A"/>
    <w:rsid w:val="00663D94"/>
    <w:rsid w:val="00664473"/>
    <w:rsid w:val="00664739"/>
    <w:rsid w:val="00664FCF"/>
    <w:rsid w:val="00665314"/>
    <w:rsid w:val="0066535E"/>
    <w:rsid w:val="006654A4"/>
    <w:rsid w:val="00665B0E"/>
    <w:rsid w:val="006667E1"/>
    <w:rsid w:val="00666E0C"/>
    <w:rsid w:val="0066712F"/>
    <w:rsid w:val="00670283"/>
    <w:rsid w:val="00670361"/>
    <w:rsid w:val="00670ADA"/>
    <w:rsid w:val="006710D2"/>
    <w:rsid w:val="00671746"/>
    <w:rsid w:val="006723A6"/>
    <w:rsid w:val="0067243C"/>
    <w:rsid w:val="00673A5F"/>
    <w:rsid w:val="00674579"/>
    <w:rsid w:val="00674770"/>
    <w:rsid w:val="00675188"/>
    <w:rsid w:val="0067542F"/>
    <w:rsid w:val="00675F7D"/>
    <w:rsid w:val="00675F9D"/>
    <w:rsid w:val="0067630C"/>
    <w:rsid w:val="006766AA"/>
    <w:rsid w:val="00676EB4"/>
    <w:rsid w:val="0067768B"/>
    <w:rsid w:val="00677E7F"/>
    <w:rsid w:val="00680027"/>
    <w:rsid w:val="00680FAF"/>
    <w:rsid w:val="00681105"/>
    <w:rsid w:val="00682E34"/>
    <w:rsid w:val="00683461"/>
    <w:rsid w:val="006841DD"/>
    <w:rsid w:val="006849BA"/>
    <w:rsid w:val="00684C15"/>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4D96"/>
    <w:rsid w:val="006954D1"/>
    <w:rsid w:val="0069599E"/>
    <w:rsid w:val="006971A9"/>
    <w:rsid w:val="0069739A"/>
    <w:rsid w:val="006A00AA"/>
    <w:rsid w:val="006A0367"/>
    <w:rsid w:val="006A06E4"/>
    <w:rsid w:val="006A0A9F"/>
    <w:rsid w:val="006A32D7"/>
    <w:rsid w:val="006A362B"/>
    <w:rsid w:val="006A524C"/>
    <w:rsid w:val="006A6480"/>
    <w:rsid w:val="006A6C5A"/>
    <w:rsid w:val="006A7669"/>
    <w:rsid w:val="006B05FF"/>
    <w:rsid w:val="006B08DE"/>
    <w:rsid w:val="006B0CB6"/>
    <w:rsid w:val="006B0CE2"/>
    <w:rsid w:val="006B1102"/>
    <w:rsid w:val="006B1E38"/>
    <w:rsid w:val="006B2940"/>
    <w:rsid w:val="006B2D40"/>
    <w:rsid w:val="006B5355"/>
    <w:rsid w:val="006B6143"/>
    <w:rsid w:val="006B6A2E"/>
    <w:rsid w:val="006B6C0F"/>
    <w:rsid w:val="006B6D7F"/>
    <w:rsid w:val="006B7C04"/>
    <w:rsid w:val="006C000E"/>
    <w:rsid w:val="006C12E4"/>
    <w:rsid w:val="006C141F"/>
    <w:rsid w:val="006C16A2"/>
    <w:rsid w:val="006C18DE"/>
    <w:rsid w:val="006C1A4E"/>
    <w:rsid w:val="006C1BCD"/>
    <w:rsid w:val="006C1F00"/>
    <w:rsid w:val="006C2C62"/>
    <w:rsid w:val="006C2D02"/>
    <w:rsid w:val="006C2D54"/>
    <w:rsid w:val="006C3D90"/>
    <w:rsid w:val="006C40F0"/>
    <w:rsid w:val="006C42E7"/>
    <w:rsid w:val="006C4811"/>
    <w:rsid w:val="006C4F9A"/>
    <w:rsid w:val="006C564A"/>
    <w:rsid w:val="006C57B5"/>
    <w:rsid w:val="006C5C2D"/>
    <w:rsid w:val="006C5D7E"/>
    <w:rsid w:val="006C6B83"/>
    <w:rsid w:val="006C6BEB"/>
    <w:rsid w:val="006C6E41"/>
    <w:rsid w:val="006C7064"/>
    <w:rsid w:val="006C7C23"/>
    <w:rsid w:val="006D006F"/>
    <w:rsid w:val="006D018E"/>
    <w:rsid w:val="006D079F"/>
    <w:rsid w:val="006D0DD5"/>
    <w:rsid w:val="006D0F4D"/>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C54"/>
    <w:rsid w:val="006D6D23"/>
    <w:rsid w:val="006D7013"/>
    <w:rsid w:val="006D7649"/>
    <w:rsid w:val="006E1D12"/>
    <w:rsid w:val="006E2510"/>
    <w:rsid w:val="006E2E86"/>
    <w:rsid w:val="006E38F9"/>
    <w:rsid w:val="006E3A14"/>
    <w:rsid w:val="006E6383"/>
    <w:rsid w:val="006E65AB"/>
    <w:rsid w:val="006E65B3"/>
    <w:rsid w:val="006E71C0"/>
    <w:rsid w:val="006E7AC7"/>
    <w:rsid w:val="006E7C40"/>
    <w:rsid w:val="006F0215"/>
    <w:rsid w:val="006F0625"/>
    <w:rsid w:val="006F13A5"/>
    <w:rsid w:val="006F204F"/>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97C"/>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220"/>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4028"/>
    <w:rsid w:val="007443D3"/>
    <w:rsid w:val="007448A7"/>
    <w:rsid w:val="007464D2"/>
    <w:rsid w:val="00746BDD"/>
    <w:rsid w:val="00747645"/>
    <w:rsid w:val="00747B81"/>
    <w:rsid w:val="00750192"/>
    <w:rsid w:val="00750A66"/>
    <w:rsid w:val="00750DEA"/>
    <w:rsid w:val="0075161F"/>
    <w:rsid w:val="00751A20"/>
    <w:rsid w:val="00752124"/>
    <w:rsid w:val="00753005"/>
    <w:rsid w:val="007534BD"/>
    <w:rsid w:val="007534FD"/>
    <w:rsid w:val="00753632"/>
    <w:rsid w:val="00754584"/>
    <w:rsid w:val="0075515E"/>
    <w:rsid w:val="00755E51"/>
    <w:rsid w:val="00756532"/>
    <w:rsid w:val="007568A9"/>
    <w:rsid w:val="00756B0A"/>
    <w:rsid w:val="00756EC7"/>
    <w:rsid w:val="00757E7D"/>
    <w:rsid w:val="00757EB7"/>
    <w:rsid w:val="0076032D"/>
    <w:rsid w:val="0076055C"/>
    <w:rsid w:val="00760788"/>
    <w:rsid w:val="00760BC1"/>
    <w:rsid w:val="00760F86"/>
    <w:rsid w:val="00761C37"/>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3264"/>
    <w:rsid w:val="007C3570"/>
    <w:rsid w:val="007C3CBA"/>
    <w:rsid w:val="007C3D4D"/>
    <w:rsid w:val="007C474D"/>
    <w:rsid w:val="007C480D"/>
    <w:rsid w:val="007C58DA"/>
    <w:rsid w:val="007C5CF6"/>
    <w:rsid w:val="007C6FC4"/>
    <w:rsid w:val="007C7255"/>
    <w:rsid w:val="007C750F"/>
    <w:rsid w:val="007C767D"/>
    <w:rsid w:val="007D01E3"/>
    <w:rsid w:val="007D05B0"/>
    <w:rsid w:val="007D071C"/>
    <w:rsid w:val="007D0B1E"/>
    <w:rsid w:val="007D0BB2"/>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D75A2"/>
    <w:rsid w:val="007E1936"/>
    <w:rsid w:val="007E1AD6"/>
    <w:rsid w:val="007E1BB1"/>
    <w:rsid w:val="007E2C55"/>
    <w:rsid w:val="007E2E0A"/>
    <w:rsid w:val="007E302F"/>
    <w:rsid w:val="007E3432"/>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7F7"/>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E91"/>
    <w:rsid w:val="00820F98"/>
    <w:rsid w:val="008213CC"/>
    <w:rsid w:val="00821A47"/>
    <w:rsid w:val="00821A9B"/>
    <w:rsid w:val="008224BE"/>
    <w:rsid w:val="00822B53"/>
    <w:rsid w:val="008230D6"/>
    <w:rsid w:val="008235AE"/>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EAA"/>
    <w:rsid w:val="00832F87"/>
    <w:rsid w:val="00833EAE"/>
    <w:rsid w:val="008342B1"/>
    <w:rsid w:val="00835521"/>
    <w:rsid w:val="00835C75"/>
    <w:rsid w:val="00835E8B"/>
    <w:rsid w:val="0083676E"/>
    <w:rsid w:val="00836BE4"/>
    <w:rsid w:val="008374BC"/>
    <w:rsid w:val="00837C76"/>
    <w:rsid w:val="00840845"/>
    <w:rsid w:val="00842FD8"/>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554D"/>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23"/>
    <w:rsid w:val="0087313E"/>
    <w:rsid w:val="00873AE2"/>
    <w:rsid w:val="00874754"/>
    <w:rsid w:val="00874AFB"/>
    <w:rsid w:val="00874EAC"/>
    <w:rsid w:val="0087533C"/>
    <w:rsid w:val="0087535F"/>
    <w:rsid w:val="008755C2"/>
    <w:rsid w:val="008758B1"/>
    <w:rsid w:val="008758BC"/>
    <w:rsid w:val="008759BD"/>
    <w:rsid w:val="008760BF"/>
    <w:rsid w:val="008761CB"/>
    <w:rsid w:val="00876A57"/>
    <w:rsid w:val="00876F2C"/>
    <w:rsid w:val="00877165"/>
    <w:rsid w:val="00877BBB"/>
    <w:rsid w:val="008823CB"/>
    <w:rsid w:val="00882428"/>
    <w:rsid w:val="00882ED3"/>
    <w:rsid w:val="00883D98"/>
    <w:rsid w:val="00883D99"/>
    <w:rsid w:val="0088417E"/>
    <w:rsid w:val="00884732"/>
    <w:rsid w:val="00884AC3"/>
    <w:rsid w:val="00885146"/>
    <w:rsid w:val="00885BAA"/>
    <w:rsid w:val="00887184"/>
    <w:rsid w:val="008874BB"/>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8F0"/>
    <w:rsid w:val="008A34AF"/>
    <w:rsid w:val="008A3BDB"/>
    <w:rsid w:val="008A3E52"/>
    <w:rsid w:val="008A4926"/>
    <w:rsid w:val="008A4A2B"/>
    <w:rsid w:val="008A5B44"/>
    <w:rsid w:val="008A65E8"/>
    <w:rsid w:val="008A68C1"/>
    <w:rsid w:val="008A755C"/>
    <w:rsid w:val="008B073F"/>
    <w:rsid w:val="008B0A59"/>
    <w:rsid w:val="008B0B9E"/>
    <w:rsid w:val="008B0E90"/>
    <w:rsid w:val="008B0FA9"/>
    <w:rsid w:val="008B1062"/>
    <w:rsid w:val="008B10F4"/>
    <w:rsid w:val="008B2562"/>
    <w:rsid w:val="008B441D"/>
    <w:rsid w:val="008B4BAD"/>
    <w:rsid w:val="008B5D7B"/>
    <w:rsid w:val="008B60EF"/>
    <w:rsid w:val="008B64C4"/>
    <w:rsid w:val="008B6F8F"/>
    <w:rsid w:val="008C01EE"/>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53EB"/>
    <w:rsid w:val="008E5473"/>
    <w:rsid w:val="008E5D7C"/>
    <w:rsid w:val="008E6EF8"/>
    <w:rsid w:val="008E7093"/>
    <w:rsid w:val="008F014E"/>
    <w:rsid w:val="008F024D"/>
    <w:rsid w:val="008F17D5"/>
    <w:rsid w:val="008F29E3"/>
    <w:rsid w:val="008F2A27"/>
    <w:rsid w:val="008F2CC2"/>
    <w:rsid w:val="008F33D6"/>
    <w:rsid w:val="008F34CC"/>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0412"/>
    <w:rsid w:val="00921E66"/>
    <w:rsid w:val="0092252A"/>
    <w:rsid w:val="0092296A"/>
    <w:rsid w:val="00922A4B"/>
    <w:rsid w:val="00924C7B"/>
    <w:rsid w:val="00924D5B"/>
    <w:rsid w:val="00924F6E"/>
    <w:rsid w:val="00925230"/>
    <w:rsid w:val="00925298"/>
    <w:rsid w:val="0092608A"/>
    <w:rsid w:val="00927F8A"/>
    <w:rsid w:val="0093104D"/>
    <w:rsid w:val="009311E9"/>
    <w:rsid w:val="009320AF"/>
    <w:rsid w:val="0093252D"/>
    <w:rsid w:val="00932C37"/>
    <w:rsid w:val="0093307B"/>
    <w:rsid w:val="009330EC"/>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77EC"/>
    <w:rsid w:val="00957D69"/>
    <w:rsid w:val="00960FE0"/>
    <w:rsid w:val="00961170"/>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E9B"/>
    <w:rsid w:val="0096750D"/>
    <w:rsid w:val="00967757"/>
    <w:rsid w:val="00967DFA"/>
    <w:rsid w:val="00971314"/>
    <w:rsid w:val="00972C39"/>
    <w:rsid w:val="00974418"/>
    <w:rsid w:val="00974BDF"/>
    <w:rsid w:val="0097505C"/>
    <w:rsid w:val="00975977"/>
    <w:rsid w:val="00975D51"/>
    <w:rsid w:val="00975DFA"/>
    <w:rsid w:val="009765EC"/>
    <w:rsid w:val="00977C10"/>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92B"/>
    <w:rsid w:val="009C5059"/>
    <w:rsid w:val="009C56C0"/>
    <w:rsid w:val="009C5DB3"/>
    <w:rsid w:val="009C5ED8"/>
    <w:rsid w:val="009C7328"/>
    <w:rsid w:val="009D1296"/>
    <w:rsid w:val="009D2DED"/>
    <w:rsid w:val="009D360F"/>
    <w:rsid w:val="009D407E"/>
    <w:rsid w:val="009D4CBC"/>
    <w:rsid w:val="009D54B8"/>
    <w:rsid w:val="009D6640"/>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3C5F"/>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05"/>
    <w:rsid w:val="00A26773"/>
    <w:rsid w:val="00A269DB"/>
    <w:rsid w:val="00A27057"/>
    <w:rsid w:val="00A27370"/>
    <w:rsid w:val="00A27AD2"/>
    <w:rsid w:val="00A27B7C"/>
    <w:rsid w:val="00A27E51"/>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33BB"/>
    <w:rsid w:val="00A43B81"/>
    <w:rsid w:val="00A43E36"/>
    <w:rsid w:val="00A442D9"/>
    <w:rsid w:val="00A444D9"/>
    <w:rsid w:val="00A445D0"/>
    <w:rsid w:val="00A44885"/>
    <w:rsid w:val="00A449BE"/>
    <w:rsid w:val="00A44EA8"/>
    <w:rsid w:val="00A502C4"/>
    <w:rsid w:val="00A5073F"/>
    <w:rsid w:val="00A51B99"/>
    <w:rsid w:val="00A52782"/>
    <w:rsid w:val="00A5363B"/>
    <w:rsid w:val="00A53751"/>
    <w:rsid w:val="00A537BC"/>
    <w:rsid w:val="00A53F19"/>
    <w:rsid w:val="00A556CA"/>
    <w:rsid w:val="00A56B16"/>
    <w:rsid w:val="00A57DC0"/>
    <w:rsid w:val="00A6028D"/>
    <w:rsid w:val="00A60377"/>
    <w:rsid w:val="00A60CFE"/>
    <w:rsid w:val="00A61234"/>
    <w:rsid w:val="00A614D7"/>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194"/>
    <w:rsid w:val="00AA3520"/>
    <w:rsid w:val="00AA3E39"/>
    <w:rsid w:val="00AA4077"/>
    <w:rsid w:val="00AA47DF"/>
    <w:rsid w:val="00AA48E0"/>
    <w:rsid w:val="00AA5DC9"/>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478C"/>
    <w:rsid w:val="00AC48D0"/>
    <w:rsid w:val="00AC4DA5"/>
    <w:rsid w:val="00AC5C1C"/>
    <w:rsid w:val="00AC5C9C"/>
    <w:rsid w:val="00AC682C"/>
    <w:rsid w:val="00AC6B81"/>
    <w:rsid w:val="00AC6C98"/>
    <w:rsid w:val="00AC7878"/>
    <w:rsid w:val="00AC787A"/>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E41"/>
    <w:rsid w:val="00AE01A1"/>
    <w:rsid w:val="00AE0252"/>
    <w:rsid w:val="00AE071B"/>
    <w:rsid w:val="00AE0D39"/>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A0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52F"/>
    <w:rsid w:val="00B1484E"/>
    <w:rsid w:val="00B14CE6"/>
    <w:rsid w:val="00B14EA9"/>
    <w:rsid w:val="00B15F92"/>
    <w:rsid w:val="00B162DA"/>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D7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A0E"/>
    <w:rsid w:val="00B73BD9"/>
    <w:rsid w:val="00B73CD1"/>
    <w:rsid w:val="00B74E26"/>
    <w:rsid w:val="00B75FFB"/>
    <w:rsid w:val="00B769C9"/>
    <w:rsid w:val="00B76FAB"/>
    <w:rsid w:val="00B777B6"/>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1C2"/>
    <w:rsid w:val="00B92341"/>
    <w:rsid w:val="00B93202"/>
    <w:rsid w:val="00B93BFD"/>
    <w:rsid w:val="00B93D53"/>
    <w:rsid w:val="00B943EB"/>
    <w:rsid w:val="00B94982"/>
    <w:rsid w:val="00B94AA8"/>
    <w:rsid w:val="00B94F6F"/>
    <w:rsid w:val="00B94FA0"/>
    <w:rsid w:val="00B9531E"/>
    <w:rsid w:val="00B96CC8"/>
    <w:rsid w:val="00B96E7E"/>
    <w:rsid w:val="00BA0BD8"/>
    <w:rsid w:val="00BA18AB"/>
    <w:rsid w:val="00BA26AD"/>
    <w:rsid w:val="00BA3A60"/>
    <w:rsid w:val="00BA40BA"/>
    <w:rsid w:val="00BA4162"/>
    <w:rsid w:val="00BA4DA0"/>
    <w:rsid w:val="00BA596D"/>
    <w:rsid w:val="00BA5BAC"/>
    <w:rsid w:val="00BA62EC"/>
    <w:rsid w:val="00BA750C"/>
    <w:rsid w:val="00BB03DA"/>
    <w:rsid w:val="00BB0F21"/>
    <w:rsid w:val="00BB112A"/>
    <w:rsid w:val="00BB116F"/>
    <w:rsid w:val="00BB2067"/>
    <w:rsid w:val="00BB21F0"/>
    <w:rsid w:val="00BB227F"/>
    <w:rsid w:val="00BB2E49"/>
    <w:rsid w:val="00BB3343"/>
    <w:rsid w:val="00BB53CC"/>
    <w:rsid w:val="00BB54F9"/>
    <w:rsid w:val="00BB558F"/>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45"/>
    <w:rsid w:val="00BD1163"/>
    <w:rsid w:val="00BD16B0"/>
    <w:rsid w:val="00BD230C"/>
    <w:rsid w:val="00BD439B"/>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16A3"/>
    <w:rsid w:val="00BE2D75"/>
    <w:rsid w:val="00BE38A6"/>
    <w:rsid w:val="00BE4D0D"/>
    <w:rsid w:val="00BE5992"/>
    <w:rsid w:val="00BE619A"/>
    <w:rsid w:val="00BE6358"/>
    <w:rsid w:val="00BE6609"/>
    <w:rsid w:val="00BE6B21"/>
    <w:rsid w:val="00BE76D0"/>
    <w:rsid w:val="00BE7741"/>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1336"/>
    <w:rsid w:val="00C11B3F"/>
    <w:rsid w:val="00C14437"/>
    <w:rsid w:val="00C165C3"/>
    <w:rsid w:val="00C1663F"/>
    <w:rsid w:val="00C168B8"/>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613D"/>
    <w:rsid w:val="00C36C54"/>
    <w:rsid w:val="00C36EC1"/>
    <w:rsid w:val="00C37CFF"/>
    <w:rsid w:val="00C37FA4"/>
    <w:rsid w:val="00C404C2"/>
    <w:rsid w:val="00C4216E"/>
    <w:rsid w:val="00C42228"/>
    <w:rsid w:val="00C428C7"/>
    <w:rsid w:val="00C42AAA"/>
    <w:rsid w:val="00C43C06"/>
    <w:rsid w:val="00C44072"/>
    <w:rsid w:val="00C44402"/>
    <w:rsid w:val="00C44B4D"/>
    <w:rsid w:val="00C44B80"/>
    <w:rsid w:val="00C455B2"/>
    <w:rsid w:val="00C4576B"/>
    <w:rsid w:val="00C45A27"/>
    <w:rsid w:val="00C46905"/>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23C"/>
    <w:rsid w:val="00C54EFB"/>
    <w:rsid w:val="00C5511D"/>
    <w:rsid w:val="00C55283"/>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D36"/>
    <w:rsid w:val="00C820C5"/>
    <w:rsid w:val="00C8235D"/>
    <w:rsid w:val="00C824C6"/>
    <w:rsid w:val="00C8319B"/>
    <w:rsid w:val="00C83369"/>
    <w:rsid w:val="00C837C1"/>
    <w:rsid w:val="00C83D8B"/>
    <w:rsid w:val="00C84372"/>
    <w:rsid w:val="00C85DBE"/>
    <w:rsid w:val="00C86057"/>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D57"/>
    <w:rsid w:val="00CA5394"/>
    <w:rsid w:val="00CA53A2"/>
    <w:rsid w:val="00CA5829"/>
    <w:rsid w:val="00CA59B3"/>
    <w:rsid w:val="00CA6701"/>
    <w:rsid w:val="00CA6A19"/>
    <w:rsid w:val="00CA6A68"/>
    <w:rsid w:val="00CA78A1"/>
    <w:rsid w:val="00CA7907"/>
    <w:rsid w:val="00CA7BA9"/>
    <w:rsid w:val="00CB07FA"/>
    <w:rsid w:val="00CB0AA4"/>
    <w:rsid w:val="00CB1207"/>
    <w:rsid w:val="00CB129C"/>
    <w:rsid w:val="00CB14A2"/>
    <w:rsid w:val="00CB30CA"/>
    <w:rsid w:val="00CB37A4"/>
    <w:rsid w:val="00CB39AB"/>
    <w:rsid w:val="00CB3B92"/>
    <w:rsid w:val="00CB498A"/>
    <w:rsid w:val="00CB59B5"/>
    <w:rsid w:val="00CB5C09"/>
    <w:rsid w:val="00CB5E3E"/>
    <w:rsid w:val="00CB6BD8"/>
    <w:rsid w:val="00CB756A"/>
    <w:rsid w:val="00CB77F3"/>
    <w:rsid w:val="00CC00E8"/>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708C"/>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379E"/>
    <w:rsid w:val="00D337C7"/>
    <w:rsid w:val="00D34073"/>
    <w:rsid w:val="00D341E1"/>
    <w:rsid w:val="00D34F94"/>
    <w:rsid w:val="00D352E8"/>
    <w:rsid w:val="00D35477"/>
    <w:rsid w:val="00D3690E"/>
    <w:rsid w:val="00D36A38"/>
    <w:rsid w:val="00D36DB7"/>
    <w:rsid w:val="00D40854"/>
    <w:rsid w:val="00D417EB"/>
    <w:rsid w:val="00D41F85"/>
    <w:rsid w:val="00D44A68"/>
    <w:rsid w:val="00D4582D"/>
    <w:rsid w:val="00D45BCF"/>
    <w:rsid w:val="00D45EDA"/>
    <w:rsid w:val="00D46A75"/>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5CE"/>
    <w:rsid w:val="00D6197F"/>
    <w:rsid w:val="00D61F40"/>
    <w:rsid w:val="00D62385"/>
    <w:rsid w:val="00D624E7"/>
    <w:rsid w:val="00D62ED6"/>
    <w:rsid w:val="00D639B0"/>
    <w:rsid w:val="00D63CEA"/>
    <w:rsid w:val="00D64225"/>
    <w:rsid w:val="00D64639"/>
    <w:rsid w:val="00D64F9B"/>
    <w:rsid w:val="00D6504F"/>
    <w:rsid w:val="00D6691B"/>
    <w:rsid w:val="00D66DA0"/>
    <w:rsid w:val="00D67DB6"/>
    <w:rsid w:val="00D703FF"/>
    <w:rsid w:val="00D7047F"/>
    <w:rsid w:val="00D7167F"/>
    <w:rsid w:val="00D718AA"/>
    <w:rsid w:val="00D71AA5"/>
    <w:rsid w:val="00D72522"/>
    <w:rsid w:val="00D744B3"/>
    <w:rsid w:val="00D74AF3"/>
    <w:rsid w:val="00D75052"/>
    <w:rsid w:val="00D753B4"/>
    <w:rsid w:val="00D761D9"/>
    <w:rsid w:val="00D76686"/>
    <w:rsid w:val="00D77C7C"/>
    <w:rsid w:val="00D80011"/>
    <w:rsid w:val="00D80AB2"/>
    <w:rsid w:val="00D8105D"/>
    <w:rsid w:val="00D82375"/>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B4E"/>
    <w:rsid w:val="00DC0E93"/>
    <w:rsid w:val="00DC1C97"/>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DC5"/>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6AE"/>
    <w:rsid w:val="00DF4958"/>
    <w:rsid w:val="00DF4AFB"/>
    <w:rsid w:val="00DF4DE4"/>
    <w:rsid w:val="00DF4F79"/>
    <w:rsid w:val="00DF51EF"/>
    <w:rsid w:val="00DF6469"/>
    <w:rsid w:val="00DF65F4"/>
    <w:rsid w:val="00DF6E89"/>
    <w:rsid w:val="00DF7597"/>
    <w:rsid w:val="00DF7629"/>
    <w:rsid w:val="00DF7AAD"/>
    <w:rsid w:val="00E00847"/>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22A3"/>
    <w:rsid w:val="00E2264D"/>
    <w:rsid w:val="00E22BFF"/>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10DB"/>
    <w:rsid w:val="00E51133"/>
    <w:rsid w:val="00E5149C"/>
    <w:rsid w:val="00E51D28"/>
    <w:rsid w:val="00E51ED5"/>
    <w:rsid w:val="00E523E7"/>
    <w:rsid w:val="00E52403"/>
    <w:rsid w:val="00E52716"/>
    <w:rsid w:val="00E52B83"/>
    <w:rsid w:val="00E548B8"/>
    <w:rsid w:val="00E54A30"/>
    <w:rsid w:val="00E54AE5"/>
    <w:rsid w:val="00E55B7E"/>
    <w:rsid w:val="00E57162"/>
    <w:rsid w:val="00E579C8"/>
    <w:rsid w:val="00E57CCD"/>
    <w:rsid w:val="00E6111D"/>
    <w:rsid w:val="00E61698"/>
    <w:rsid w:val="00E620F9"/>
    <w:rsid w:val="00E62582"/>
    <w:rsid w:val="00E62A9C"/>
    <w:rsid w:val="00E62BF9"/>
    <w:rsid w:val="00E62F1F"/>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19EC"/>
    <w:rsid w:val="00E8330E"/>
    <w:rsid w:val="00E83365"/>
    <w:rsid w:val="00E8341B"/>
    <w:rsid w:val="00E8368A"/>
    <w:rsid w:val="00E836F0"/>
    <w:rsid w:val="00E84A61"/>
    <w:rsid w:val="00E85829"/>
    <w:rsid w:val="00E85B70"/>
    <w:rsid w:val="00E870EA"/>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5A3A"/>
    <w:rsid w:val="00EA5F68"/>
    <w:rsid w:val="00EA618A"/>
    <w:rsid w:val="00EB011B"/>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44BD"/>
    <w:rsid w:val="00EE49E4"/>
    <w:rsid w:val="00EE4C70"/>
    <w:rsid w:val="00EE64B4"/>
    <w:rsid w:val="00EE6620"/>
    <w:rsid w:val="00EE716A"/>
    <w:rsid w:val="00EE7838"/>
    <w:rsid w:val="00EE793F"/>
    <w:rsid w:val="00EF0347"/>
    <w:rsid w:val="00EF08F5"/>
    <w:rsid w:val="00EF0EFF"/>
    <w:rsid w:val="00EF183E"/>
    <w:rsid w:val="00EF1E11"/>
    <w:rsid w:val="00EF249D"/>
    <w:rsid w:val="00EF26A0"/>
    <w:rsid w:val="00EF2F55"/>
    <w:rsid w:val="00EF42D1"/>
    <w:rsid w:val="00EF48B9"/>
    <w:rsid w:val="00EF67F5"/>
    <w:rsid w:val="00EF6C60"/>
    <w:rsid w:val="00EF7122"/>
    <w:rsid w:val="00EF7440"/>
    <w:rsid w:val="00EF7D5D"/>
    <w:rsid w:val="00F0054A"/>
    <w:rsid w:val="00F00BDB"/>
    <w:rsid w:val="00F00D2D"/>
    <w:rsid w:val="00F00E75"/>
    <w:rsid w:val="00F00EB6"/>
    <w:rsid w:val="00F0160C"/>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027"/>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0D53"/>
    <w:rsid w:val="00F41031"/>
    <w:rsid w:val="00F4148F"/>
    <w:rsid w:val="00F416B2"/>
    <w:rsid w:val="00F416ED"/>
    <w:rsid w:val="00F41724"/>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3C8"/>
    <w:rsid w:val="00F6768E"/>
    <w:rsid w:val="00F67D08"/>
    <w:rsid w:val="00F71D3A"/>
    <w:rsid w:val="00F71D69"/>
    <w:rsid w:val="00F7223E"/>
    <w:rsid w:val="00F72476"/>
    <w:rsid w:val="00F72CF1"/>
    <w:rsid w:val="00F73443"/>
    <w:rsid w:val="00F736D0"/>
    <w:rsid w:val="00F73F32"/>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5A0"/>
    <w:rsid w:val="00FA08C5"/>
    <w:rsid w:val="00FA0E22"/>
    <w:rsid w:val="00FA163D"/>
    <w:rsid w:val="00FA1D9C"/>
    <w:rsid w:val="00FA2A73"/>
    <w:rsid w:val="00FA2C13"/>
    <w:rsid w:val="00FA3B1B"/>
    <w:rsid w:val="00FA4B0B"/>
    <w:rsid w:val="00FA5106"/>
    <w:rsid w:val="00FA5B6D"/>
    <w:rsid w:val="00FA5CD5"/>
    <w:rsid w:val="00FA6397"/>
    <w:rsid w:val="00FA769E"/>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419D"/>
    <w:rsid w:val="00FC4334"/>
    <w:rsid w:val="00FC48E0"/>
    <w:rsid w:val="00FC5E9D"/>
    <w:rsid w:val="00FC6900"/>
    <w:rsid w:val="00FC6E9A"/>
    <w:rsid w:val="00FC7484"/>
    <w:rsid w:val="00FC7F45"/>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22F"/>
    <w:rsid w:val="00FF479C"/>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7B7"/>
    <w:pPr>
      <w:ind w:left="720"/>
      <w:contextualSpacing/>
    </w:pPr>
  </w:style>
  <w:style w:type="paragraph" w:styleId="BalloonText">
    <w:name w:val="Balloon Text"/>
    <w:basedOn w:val="Normal"/>
    <w:link w:val="BalloonTextChar"/>
    <w:uiPriority w:val="99"/>
    <w:semiHidden/>
    <w:unhideWhenUsed/>
    <w:rsid w:val="0047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47"/>
    <w:rPr>
      <w:rFonts w:ascii="Segoe UI" w:hAnsi="Segoe UI" w:cs="Segoe UI"/>
      <w:sz w:val="18"/>
      <w:szCs w:val="18"/>
    </w:rPr>
  </w:style>
  <w:style w:type="paragraph" w:styleId="Header">
    <w:name w:val="header"/>
    <w:basedOn w:val="Normal"/>
    <w:link w:val="HeaderChar"/>
    <w:uiPriority w:val="99"/>
    <w:unhideWhenUsed/>
    <w:rsid w:val="00B75F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FFB"/>
  </w:style>
  <w:style w:type="paragraph" w:styleId="Footer">
    <w:name w:val="footer"/>
    <w:basedOn w:val="Normal"/>
    <w:link w:val="FooterChar"/>
    <w:uiPriority w:val="99"/>
    <w:unhideWhenUsed/>
    <w:rsid w:val="00B75F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5FFB"/>
  </w:style>
</w:styles>
</file>

<file path=word/webSettings.xml><?xml version="1.0" encoding="utf-8"?>
<w:webSettings xmlns:r="http://schemas.openxmlformats.org/officeDocument/2006/relationships" xmlns:w="http://schemas.openxmlformats.org/wordprocessingml/2006/main">
  <w:divs>
    <w:div w:id="13381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9CA5-56CD-4D86-BAEF-70725140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6275</Words>
  <Characters>35772</Characters>
  <Application>Microsoft Office Word</Application>
  <DocSecurity>0</DocSecurity>
  <Lines>298</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40</cp:revision>
  <cp:lastPrinted>2020-03-06T11:28:00Z</cp:lastPrinted>
  <dcterms:created xsi:type="dcterms:W3CDTF">2019-07-16T07:25:00Z</dcterms:created>
  <dcterms:modified xsi:type="dcterms:W3CDTF">2021-01-07T16:03:00Z</dcterms:modified>
</cp:coreProperties>
</file>